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widowControl w:val="0"/>
        <w:rPr/>
      </w:pPr>
      <w:r w:rsidDel="00000000" w:rsidR="00000000" w:rsidRPr="00000000">
        <w:rPr>
          <w:rtl w:val="0"/>
        </w:rPr>
      </w:r>
    </w:p>
    <w:tbl>
      <w:tblPr>
        <w:tblStyle w:val="Table1"/>
        <w:tblW w:w="9000.0" w:type="dxa"/>
        <w:jc w:val="left"/>
        <w:tblBorders>
          <w:top w:color="000000" w:space="0" w:sz="6" w:val="single"/>
          <w:left w:color="000000" w:space="0" w:sz="6" w:val="single"/>
          <w:bottom w:color="000000" w:space="0" w:sz="6" w:val="single"/>
          <w:right w:color="000000" w:space="0" w:sz="6" w:val="single"/>
          <w:insideH w:color="000000" w:space="0" w:sz="4" w:val="single"/>
          <w:insideV w:color="000000" w:space="0" w:sz="4" w:val="single"/>
        </w:tblBorders>
        <w:tblLayout w:type="fixed"/>
        <w:tblLook w:val="0000"/>
      </w:tblPr>
      <w:tblGrid>
        <w:gridCol w:w="3000"/>
        <w:gridCol w:w="3000"/>
        <w:gridCol w:w="3000"/>
        <w:tblGridChange w:id="0">
          <w:tblGrid>
            <w:gridCol w:w="3000"/>
            <w:gridCol w:w="3000"/>
            <w:gridCol w:w="3000"/>
          </w:tblGrid>
        </w:tblGridChange>
      </w:tblGrid>
      <w:tr>
        <w:trPr>
          <w:cantSplit w:val="0"/>
          <w:trHeight w:val="810" w:hRule="atLeast"/>
          <w:tblHeader w:val="0"/>
        </w:trPr>
        <w:tc>
          <w:tcPr>
            <w:vMerge w:val="restart"/>
            <w:tcBorders>
              <w:top w:color="000000" w:space="0" w:sz="12" w:val="single"/>
              <w:left w:color="000000" w:space="0" w:sz="12" w:val="single"/>
              <w:bottom w:color="000000" w:space="0" w:sz="12" w:val="single"/>
              <w:right w:color="000000" w:space="0" w:sz="12" w:val="single"/>
            </w:tcBorders>
            <w:tcMar>
              <w:left w:w="90.0" w:type="dxa"/>
              <w:right w:w="90.0" w:type="dxa"/>
            </w:tcMar>
            <w:vAlign w:val="top"/>
          </w:tcPr>
          <w:p w:rsidR="00000000" w:rsidDel="00000000" w:rsidP="00000000" w:rsidRDefault="00000000" w:rsidRPr="00000000" w14:paraId="00000002">
            <w:pPr>
              <w:spacing w:line="259" w:lineRule="auto"/>
              <w:jc w:val="center"/>
              <w:rPr>
                <w:rFonts w:ascii="Calibri" w:cs="Calibri" w:eastAsia="Calibri" w:hAnsi="Calibri"/>
              </w:rPr>
            </w:pPr>
            <w:r w:rsidDel="00000000" w:rsidR="00000000" w:rsidRPr="00000000">
              <w:rPr>
                <w:rFonts w:ascii="Calibri" w:cs="Calibri" w:eastAsia="Calibri" w:hAnsi="Calibri"/>
                <w:rtl w:val="0"/>
              </w:rPr>
              <w:br w:type="textWrapping"/>
            </w:r>
            <w:r w:rsidDel="00000000" w:rsidR="00000000" w:rsidRPr="00000000">
              <w:rPr>
                <w:rFonts w:ascii="Calibri" w:cs="Calibri" w:eastAsia="Calibri" w:hAnsi="Calibri"/>
              </w:rPr>
              <w:drawing>
                <wp:inline distB="0" distT="0" distL="114300" distR="114300">
                  <wp:extent cx="914400" cy="1114425"/>
                  <wp:effectExtent b="0" l="0" r="0" t="0"/>
                  <wp:docPr descr="ESCUDO UD" id="6" name="image1.png"/>
                  <a:graphic>
                    <a:graphicData uri="http://schemas.openxmlformats.org/drawingml/2006/picture">
                      <pic:pic>
                        <pic:nvPicPr>
                          <pic:cNvPr descr="ESCUDO UD" id="0" name="image1.png"/>
                          <pic:cNvPicPr preferRelativeResize="0"/>
                        </pic:nvPicPr>
                        <pic:blipFill>
                          <a:blip r:embed="rId6"/>
                          <a:srcRect b="0" l="0" r="0" t="0"/>
                          <a:stretch>
                            <a:fillRect/>
                          </a:stretch>
                        </pic:blipFill>
                        <pic:spPr>
                          <a:xfrm>
                            <a:off x="0" y="0"/>
                            <a:ext cx="914400" cy="1114425"/>
                          </a:xfrm>
                          <a:prstGeom prst="rect"/>
                          <a:ln/>
                        </pic:spPr>
                      </pic:pic>
                    </a:graphicData>
                  </a:graphic>
                </wp:inline>
              </w:drawing>
            </w:r>
            <w:r w:rsidDel="00000000" w:rsidR="00000000" w:rsidRPr="00000000">
              <w:rPr>
                <w:rtl w:val="0"/>
              </w:rPr>
            </w:r>
          </w:p>
        </w:tc>
        <w:tc>
          <w:tcPr>
            <w:gridSpan w:val="2"/>
            <w:tcBorders>
              <w:top w:color="000000" w:space="0" w:sz="12" w:val="single"/>
              <w:left w:color="000000" w:space="0" w:sz="12" w:val="single"/>
              <w:bottom w:color="000000" w:space="0" w:sz="12" w:val="single"/>
              <w:right w:color="000000" w:space="0" w:sz="12" w:val="single"/>
            </w:tcBorders>
            <w:tcMar>
              <w:left w:w="90.0" w:type="dxa"/>
              <w:right w:w="90.0" w:type="dxa"/>
            </w:tcMar>
            <w:vAlign w:val="top"/>
          </w:tcPr>
          <w:p w:rsidR="00000000" w:rsidDel="00000000" w:rsidP="00000000" w:rsidRDefault="00000000" w:rsidRPr="00000000" w14:paraId="00000003">
            <w:pPr>
              <w:spacing w:line="259"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UNIVERSIDAD DISTRITAL FRANCISCO JOSÉ DE CALDAS.</w:t>
            </w:r>
            <w:r w:rsidDel="00000000" w:rsidR="00000000" w:rsidRPr="00000000">
              <w:rPr>
                <w:rtl w:val="0"/>
              </w:rPr>
            </w:r>
          </w:p>
          <w:p w:rsidR="00000000" w:rsidDel="00000000" w:rsidP="00000000" w:rsidRDefault="00000000" w:rsidRPr="00000000" w14:paraId="00000004">
            <w:pPr>
              <w:spacing w:line="259"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LICENCIATURA EN CIENCIAS SOCIALES LECS</w:t>
            </w:r>
          </w:p>
        </w:tc>
      </w:tr>
      <w:tr>
        <w:trPr>
          <w:cantSplit w:val="0"/>
          <w:trHeight w:val="270" w:hRule="atLeast"/>
          <w:tblHeader w:val="0"/>
        </w:trPr>
        <w:tc>
          <w:tcPr>
            <w:vMerge w:val="continue"/>
            <w:tcBorders>
              <w:top w:color="000000" w:space="0" w:sz="12" w:val="single"/>
              <w:left w:color="000000" w:space="0" w:sz="12" w:val="single"/>
              <w:bottom w:color="000000" w:space="0" w:sz="12" w:val="single"/>
              <w:right w:color="000000" w:space="0" w:sz="12" w:val="single"/>
            </w:tcBorders>
            <w:tcMar>
              <w:left w:w="90.0" w:type="dxa"/>
              <w:right w:w="90.0" w:type="dxa"/>
            </w:tcMar>
            <w:vAlign w:val="top"/>
          </w:tcPr>
          <w:p w:rsidR="00000000" w:rsidDel="00000000" w:rsidP="00000000" w:rsidRDefault="00000000" w:rsidRPr="00000000" w14:paraId="00000006">
            <w:pPr>
              <w:widowControl w:val="0"/>
              <w:spacing w:line="276" w:lineRule="auto"/>
              <w:rPr>
                <w:rFonts w:ascii="Times New Roman" w:cs="Times New Roman" w:eastAsia="Times New Roman" w:hAnsi="Times New Roman"/>
              </w:rPr>
            </w:pPr>
            <w:r w:rsidDel="00000000" w:rsidR="00000000" w:rsidRPr="00000000">
              <w:rPr>
                <w:rtl w:val="0"/>
              </w:rPr>
            </w:r>
          </w:p>
        </w:tc>
        <w:tc>
          <w:tcPr>
            <w:gridSpan w:val="2"/>
            <w:tcBorders>
              <w:top w:color="000000" w:space="0" w:sz="12" w:val="single"/>
              <w:left w:color="000000" w:space="0" w:sz="12" w:val="single"/>
              <w:bottom w:color="000000" w:space="0" w:sz="12" w:val="single"/>
              <w:right w:color="000000" w:space="0" w:sz="12" w:val="single"/>
            </w:tcBorders>
            <w:tcMar>
              <w:left w:w="90.0" w:type="dxa"/>
              <w:right w:w="90.0" w:type="dxa"/>
            </w:tcMar>
            <w:vAlign w:val="center"/>
          </w:tcPr>
          <w:p w:rsidR="00000000" w:rsidDel="00000000" w:rsidP="00000000" w:rsidRDefault="00000000" w:rsidRPr="00000000" w14:paraId="00000007">
            <w:pPr>
              <w:spacing w:line="259" w:lineRule="auto"/>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0"/>
                <w:szCs w:val="20"/>
                <w:rtl w:val="0"/>
              </w:rPr>
              <w:t xml:space="preserve">ESPACIO ACADÉMICO: Prácticas de educación comunitaria</w:t>
            </w:r>
            <w:r w:rsidDel="00000000" w:rsidR="00000000" w:rsidRPr="00000000">
              <w:rPr>
                <w:rtl w:val="0"/>
              </w:rPr>
            </w:r>
          </w:p>
        </w:tc>
      </w:tr>
      <w:tr>
        <w:trPr>
          <w:cantSplit w:val="0"/>
          <w:trHeight w:val="255" w:hRule="atLeast"/>
          <w:tblHeader w:val="0"/>
        </w:trPr>
        <w:tc>
          <w:tcPr>
            <w:vMerge w:val="continue"/>
            <w:tcBorders>
              <w:top w:color="000000" w:space="0" w:sz="12" w:val="single"/>
              <w:left w:color="000000" w:space="0" w:sz="12" w:val="single"/>
              <w:bottom w:color="000000" w:space="0" w:sz="12" w:val="single"/>
              <w:right w:color="000000" w:space="0" w:sz="12" w:val="single"/>
            </w:tcBorders>
            <w:tcMar>
              <w:left w:w="90.0" w:type="dxa"/>
              <w:right w:w="90.0" w:type="dxa"/>
            </w:tcMar>
            <w:vAlign w:val="top"/>
          </w:tcPr>
          <w:p w:rsidR="00000000" w:rsidDel="00000000" w:rsidP="00000000" w:rsidRDefault="00000000" w:rsidRPr="00000000" w14:paraId="00000009">
            <w:pPr>
              <w:widowControl w:val="0"/>
              <w:spacing w:line="276" w:lineRule="auto"/>
              <w:rPr>
                <w:rFonts w:ascii="Times New Roman" w:cs="Times New Roman" w:eastAsia="Times New Roman" w:hAnsi="Times New Roman"/>
                <w:sz w:val="20"/>
                <w:szCs w:val="20"/>
              </w:rPr>
            </w:pPr>
            <w:r w:rsidDel="00000000" w:rsidR="00000000" w:rsidRPr="00000000">
              <w:rPr>
                <w:rtl w:val="0"/>
              </w:rPr>
            </w:r>
          </w:p>
        </w:tc>
        <w:tc>
          <w:tcPr>
            <w:gridSpan w:val="2"/>
            <w:tcBorders>
              <w:top w:color="000000" w:space="0" w:sz="12" w:val="single"/>
              <w:left w:color="000000" w:space="0" w:sz="12" w:val="single"/>
              <w:bottom w:color="000000" w:space="0" w:sz="12" w:val="single"/>
              <w:right w:color="000000" w:space="0" w:sz="12" w:val="single"/>
            </w:tcBorders>
            <w:tcMar>
              <w:left w:w="90.0" w:type="dxa"/>
              <w:right w:w="90.0" w:type="dxa"/>
            </w:tcMar>
            <w:vAlign w:val="center"/>
          </w:tcPr>
          <w:p w:rsidR="00000000" w:rsidDel="00000000" w:rsidP="00000000" w:rsidRDefault="00000000" w:rsidRPr="00000000" w14:paraId="0000000A">
            <w:pPr>
              <w:spacing w:line="259" w:lineRule="auto"/>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4"/>
                <w:szCs w:val="24"/>
                <w:rtl w:val="0"/>
              </w:rPr>
              <w:t xml:space="preserve">DOCENTE:</w:t>
            </w:r>
            <w:r w:rsidDel="00000000" w:rsidR="00000000" w:rsidRPr="00000000">
              <w:rPr>
                <w:rFonts w:ascii="Times New Roman" w:cs="Times New Roman" w:eastAsia="Times New Roman" w:hAnsi="Times New Roman"/>
                <w:b w:val="1"/>
                <w:sz w:val="15"/>
                <w:szCs w:val="15"/>
                <w:rtl w:val="0"/>
              </w:rPr>
              <w:t xml:space="preserve"> </w:t>
            </w:r>
            <w:r w:rsidDel="00000000" w:rsidR="00000000" w:rsidRPr="00000000">
              <w:rPr>
                <w:rFonts w:ascii="Times New Roman" w:cs="Times New Roman" w:eastAsia="Times New Roman" w:hAnsi="Times New Roman"/>
                <w:b w:val="1"/>
                <w:sz w:val="20"/>
                <w:szCs w:val="20"/>
                <w:rtl w:val="0"/>
              </w:rPr>
              <w:t xml:space="preserve">Adriana López Camacho</w:t>
            </w:r>
            <w:r w:rsidDel="00000000" w:rsidR="00000000" w:rsidRPr="00000000">
              <w:rPr>
                <w:rtl w:val="0"/>
              </w:rPr>
            </w:r>
          </w:p>
        </w:tc>
      </w:tr>
      <w:tr>
        <w:trPr>
          <w:cantSplit w:val="0"/>
          <w:trHeight w:val="315" w:hRule="atLeast"/>
          <w:tblHeader w:val="0"/>
        </w:trPr>
        <w:tc>
          <w:tcPr>
            <w:vMerge w:val="continue"/>
            <w:tcBorders>
              <w:top w:color="000000" w:space="0" w:sz="12" w:val="single"/>
              <w:left w:color="000000" w:space="0" w:sz="12" w:val="single"/>
              <w:bottom w:color="000000" w:space="0" w:sz="12" w:val="single"/>
              <w:right w:color="000000" w:space="0" w:sz="12" w:val="single"/>
            </w:tcBorders>
            <w:tcMar>
              <w:left w:w="90.0" w:type="dxa"/>
              <w:right w:w="90.0" w:type="dxa"/>
            </w:tcMar>
            <w:vAlign w:val="top"/>
          </w:tcPr>
          <w:p w:rsidR="00000000" w:rsidDel="00000000" w:rsidP="00000000" w:rsidRDefault="00000000" w:rsidRPr="00000000" w14:paraId="0000000C">
            <w:pPr>
              <w:widowControl w:val="0"/>
              <w:spacing w:line="276" w:lineRule="auto"/>
              <w:rPr>
                <w:rFonts w:ascii="Times New Roman" w:cs="Times New Roman" w:eastAsia="Times New Roman" w:hAnsi="Times New Roman"/>
                <w:sz w:val="20"/>
                <w:szCs w:val="20"/>
              </w:rPr>
            </w:pPr>
            <w:r w:rsidDel="00000000" w:rsidR="00000000" w:rsidRPr="00000000">
              <w:rPr>
                <w:rtl w:val="0"/>
              </w:rPr>
            </w:r>
          </w:p>
        </w:tc>
        <w:tc>
          <w:tcPr>
            <w:tcBorders>
              <w:top w:color="000000" w:space="0" w:sz="12" w:val="single"/>
              <w:left w:color="000000" w:space="0" w:sz="12" w:val="single"/>
              <w:bottom w:color="000000" w:space="0" w:sz="12" w:val="single"/>
              <w:right w:color="000000" w:space="0" w:sz="12" w:val="single"/>
            </w:tcBorders>
            <w:tcMar>
              <w:left w:w="90.0" w:type="dxa"/>
              <w:right w:w="90.0" w:type="dxa"/>
            </w:tcMar>
            <w:vAlign w:val="center"/>
          </w:tcPr>
          <w:p w:rsidR="00000000" w:rsidDel="00000000" w:rsidP="00000000" w:rsidRDefault="00000000" w:rsidRPr="00000000" w14:paraId="0000000D">
            <w:pPr>
              <w:spacing w:line="259"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FECHA: 10 de junio del 2024</w:t>
            </w:r>
            <w:r w:rsidDel="00000000" w:rsidR="00000000" w:rsidRPr="00000000">
              <w:rPr>
                <w:rtl w:val="0"/>
              </w:rPr>
            </w:r>
          </w:p>
        </w:tc>
        <w:tc>
          <w:tcPr>
            <w:tcBorders>
              <w:top w:color="000000" w:space="0" w:sz="12" w:val="single"/>
              <w:left w:color="000000" w:space="0" w:sz="12" w:val="single"/>
              <w:bottom w:color="000000" w:space="0" w:sz="12" w:val="single"/>
              <w:right w:color="000000" w:space="0" w:sz="12" w:val="single"/>
            </w:tcBorders>
            <w:tcMar>
              <w:left w:w="90.0" w:type="dxa"/>
              <w:right w:w="90.0" w:type="dxa"/>
            </w:tcMar>
            <w:vAlign w:val="center"/>
          </w:tcPr>
          <w:p w:rsidR="00000000" w:rsidDel="00000000" w:rsidP="00000000" w:rsidRDefault="00000000" w:rsidRPr="00000000" w14:paraId="0000000E">
            <w:pPr>
              <w:spacing w:line="259"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GRUPO: 255-1</w:t>
            </w:r>
            <w:r w:rsidDel="00000000" w:rsidR="00000000" w:rsidRPr="00000000">
              <w:rPr>
                <w:rtl w:val="0"/>
              </w:rPr>
            </w:r>
          </w:p>
        </w:tc>
      </w:tr>
      <w:tr>
        <w:trPr>
          <w:cantSplit w:val="0"/>
          <w:trHeight w:val="810" w:hRule="atLeast"/>
          <w:tblHeader w:val="0"/>
        </w:trPr>
        <w:tc>
          <w:tcPr>
            <w:gridSpan w:val="3"/>
            <w:tcBorders>
              <w:top w:color="000000" w:space="0" w:sz="12" w:val="single"/>
              <w:left w:color="000000" w:space="0" w:sz="12" w:val="single"/>
              <w:bottom w:color="000000" w:space="0" w:sz="12" w:val="single"/>
              <w:right w:color="000000" w:space="0" w:sz="12" w:val="single"/>
            </w:tcBorders>
            <w:tcMar>
              <w:left w:w="90.0" w:type="dxa"/>
              <w:right w:w="90.0" w:type="dxa"/>
            </w:tcMar>
            <w:vAlign w:val="top"/>
          </w:tcPr>
          <w:p w:rsidR="00000000" w:rsidDel="00000000" w:rsidP="00000000" w:rsidRDefault="00000000" w:rsidRPr="00000000" w14:paraId="0000000F">
            <w:pPr>
              <w:spacing w:line="259"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ESTUDIANTE:</w:t>
            </w:r>
            <w:r w:rsidDel="00000000" w:rsidR="00000000" w:rsidRPr="00000000">
              <w:rPr>
                <w:rtl w:val="0"/>
              </w:rPr>
            </w:r>
          </w:p>
          <w:p w:rsidR="00000000" w:rsidDel="00000000" w:rsidP="00000000" w:rsidRDefault="00000000" w:rsidRPr="00000000" w14:paraId="00000010">
            <w:pPr>
              <w:spacing w:line="259"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Néstor Lara Bernal-Código: 20202255050</w:t>
            </w:r>
          </w:p>
        </w:tc>
      </w:tr>
      <w:tr>
        <w:trPr>
          <w:cantSplit w:val="0"/>
          <w:trHeight w:val="315" w:hRule="atLeast"/>
          <w:tblHeader w:val="0"/>
        </w:trPr>
        <w:tc>
          <w:tcPr>
            <w:gridSpan w:val="3"/>
            <w:tcBorders>
              <w:top w:color="000000" w:space="0" w:sz="12" w:val="single"/>
              <w:left w:color="000000" w:space="0" w:sz="12" w:val="single"/>
              <w:bottom w:color="000000" w:space="0" w:sz="12" w:val="single"/>
              <w:right w:color="000000" w:space="0" w:sz="12" w:val="single"/>
            </w:tcBorders>
            <w:tcMar>
              <w:left w:w="90.0" w:type="dxa"/>
              <w:right w:w="90.0" w:type="dxa"/>
            </w:tcMar>
            <w:vAlign w:val="top"/>
          </w:tcPr>
          <w:p w:rsidR="00000000" w:rsidDel="00000000" w:rsidP="00000000" w:rsidRDefault="00000000" w:rsidRPr="00000000" w14:paraId="00000013">
            <w:pPr>
              <w:spacing w:line="259"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TIPO DE TRABAJO: </w:t>
            </w:r>
            <w:r w:rsidDel="00000000" w:rsidR="00000000" w:rsidRPr="00000000">
              <w:rPr>
                <w:rFonts w:ascii="Times New Roman" w:cs="Times New Roman" w:eastAsia="Times New Roman" w:hAnsi="Times New Roman"/>
                <w:sz w:val="24"/>
                <w:szCs w:val="24"/>
                <w:rtl w:val="0"/>
              </w:rPr>
              <w:t xml:space="preserve">I</w:t>
            </w:r>
            <w:r w:rsidDel="00000000" w:rsidR="00000000" w:rsidRPr="00000000">
              <w:rPr>
                <w:rFonts w:ascii="Times New Roman" w:cs="Times New Roman" w:eastAsia="Times New Roman" w:hAnsi="Times New Roman"/>
                <w:sz w:val="24"/>
                <w:szCs w:val="24"/>
                <w:rtl w:val="0"/>
              </w:rPr>
              <w:t xml:space="preserve">nforme final del campo de práctica: Red de lucha contra el hambre. </w:t>
            </w:r>
          </w:p>
        </w:tc>
      </w:tr>
    </w:tbl>
    <w:p w:rsidR="00000000" w:rsidDel="00000000" w:rsidP="00000000" w:rsidRDefault="00000000" w:rsidRPr="00000000" w14:paraId="00000016">
      <w:pPr>
        <w:spacing w:after="160" w:line="259" w:lineRule="auto"/>
        <w:rPr/>
      </w:pPr>
      <w:r w:rsidDel="00000000" w:rsidR="00000000" w:rsidRPr="00000000">
        <w:rPr>
          <w:rtl w:val="0"/>
        </w:rPr>
      </w:r>
    </w:p>
    <w:p w:rsidR="00000000" w:rsidDel="00000000" w:rsidP="00000000" w:rsidRDefault="00000000" w:rsidRPr="00000000" w14:paraId="00000017">
      <w:pPr>
        <w:spacing w:after="160" w:line="259"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Introducción: </w:t>
      </w:r>
    </w:p>
    <w:p w:rsidR="00000000" w:rsidDel="00000000" w:rsidP="00000000" w:rsidRDefault="00000000" w:rsidRPr="00000000" w14:paraId="00000018">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Para comprender la complejidad de las diferentes dimensiones de la sociedad junto con las diferentes relaciones que se generan (hombre-hombre, hombre-naturaleza) es necesario reconocer cómo está construida la realidad. Para dicho fin, se debe cuestionar las relaciones de poder y dominación, la aparente felicidad que brinda la sociedad de consumo, las relaciones con el otro que no piensa igual, el “valor” que se le da al trabajo, la responsabilidad y compromiso que se tiene con las nuevas generaciones y las otras formas de vida que comparten su existencia con la existencia del hombre.</w:t>
      </w:r>
    </w:p>
    <w:p w:rsidR="00000000" w:rsidDel="00000000" w:rsidP="00000000" w:rsidRDefault="00000000" w:rsidRPr="00000000" w14:paraId="00000019">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 toma de conciencia sobre la realidad problematiza la acción del hombre esto permite que se reconozca el lugar que este ocupa para generar transformaciones sociales. Freire señala la importancia de la inmersión crítica a la realidad donde se tiene en cuenta la objetividad y la subjetividad que dan cuenta de la complejidad social, este punto es importante porque teniendo presente ambos aspectos se genera acción-reflexión para transformar el mundo; por consiguiente, esta toma de conciencia visibiliza las desigualdades que ha ocasionado el orden social existente junto con problemas estructurantes que no permiten que las personas tengan una vida digna. </w:t>
      </w:r>
    </w:p>
    <w:p w:rsidR="00000000" w:rsidDel="00000000" w:rsidP="00000000" w:rsidRDefault="00000000" w:rsidRPr="00000000" w14:paraId="0000001A">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 este sentido, las organizaciones comunitarias surgen con otras concepciones del mundo que luchan por la dignidad, la autonomía y la emancipación. Surge la necesidad de liberación y para ello se tiene en cuenta las necesidades e intereses de los pueblos y se da importancia al derecho de hacer política para luchar y tomar decisiones. Por lo anterior, la organización comunitaria  posibilita la transformación del lugar que ocupa sin reproducir la dominación y explotación. En las organizaciones comunitarias se encuentran “otras” concepciones de nación o mejor dicho de organización social, “otras” relaciones con la naturaleza, “otros” tipos de lazos sociales, “otras” concepciones de educación, “otras” formas de representar el mundo; esto con el fin de superar la relación opresor-oprimido. </w:t>
      </w:r>
    </w:p>
    <w:p w:rsidR="00000000" w:rsidDel="00000000" w:rsidP="00000000" w:rsidRDefault="00000000" w:rsidRPr="00000000" w14:paraId="0000001B">
      <w:pPr>
        <w:spacing w:after="160" w:line="360" w:lineRule="auto"/>
        <w:ind w:left="0" w:firstLine="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Antecedentes: </w:t>
      </w:r>
    </w:p>
    <w:p w:rsidR="00000000" w:rsidDel="00000000" w:rsidP="00000000" w:rsidRDefault="00000000" w:rsidRPr="00000000" w14:paraId="0000001C">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Para el presente informe se va a tomar como antecedente el informe final de dicho campo de práctica del semestre anterior para problematizar el espacio geográfico de Ciudad Bolívar donde se materializa la relación hombre-medio; este espacio es el resultado de procesos políticos y culturales, de procesos de dominación opresión que se ejerce sobre la sociedad y de procesos productivos que buscan mejorar las condiciones de existencia de las personas. En este sentido se identifica El Museo Café Rincón del Paraíso que re-significa el lugar que tiene el reciclador para generar cultura y se toma las palabras del anterior informe donde este es un lugar para la memoria donde hay una lucha para no olvidar. </w:t>
      </w:r>
    </w:p>
    <w:p w:rsidR="00000000" w:rsidDel="00000000" w:rsidP="00000000" w:rsidRDefault="00000000" w:rsidRPr="00000000" w14:paraId="0000001D">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Dentro de las problemáticas que se identificaron está</w:t>
      </w:r>
      <w:r w:rsidDel="00000000" w:rsidR="00000000" w:rsidRPr="00000000">
        <w:rPr>
          <w:rFonts w:ascii="Times New Roman" w:cs="Times New Roman" w:eastAsia="Times New Roman" w:hAnsi="Times New Roman"/>
          <w:i w:val="1"/>
          <w:sz w:val="24"/>
          <w:szCs w:val="24"/>
          <w:rtl w:val="0"/>
        </w:rPr>
        <w:t xml:space="preserve"> la estigmatización y los señalamientos que se generan sobre el territorio</w:t>
      </w:r>
      <w:r w:rsidDel="00000000" w:rsidR="00000000" w:rsidRPr="00000000">
        <w:rPr>
          <w:rFonts w:ascii="Times New Roman" w:cs="Times New Roman" w:eastAsia="Times New Roman" w:hAnsi="Times New Roman"/>
          <w:sz w:val="24"/>
          <w:szCs w:val="24"/>
          <w:rtl w:val="0"/>
        </w:rPr>
        <w:t xml:space="preserve"> y la poca “visibilidad” que tiene el museo para ayudar a su sostenimiento, en este sentido, dentro de los resultado que se obtuvieron fue la creación de algunos recursos audiovisuales que dan cuenta de las actividades que se realizan dentro del museo y el aporte que tiene el museo frente a la cultura de la localidad. En cuanto a la experiencia ambiental que se encuentra en el barrio Bella Flor, se identificaron las siguientes problemáticas: La búsqueda de seguridad alimentaria, la lucha por la vivienda digna, el acceso a la tierra, la salud de sus habitantes, entre otros. </w:t>
      </w:r>
    </w:p>
    <w:p w:rsidR="00000000" w:rsidDel="00000000" w:rsidP="00000000" w:rsidRDefault="00000000" w:rsidRPr="00000000" w14:paraId="0000001E">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 dicho informe se reconoce la importancia de la soberanía alimentaria para empoderar a las comunidades donde se busca la reducción de las desigualdades sociales y la pobreza. En este informe se reconoce la experiencia del co-formador Don Jorge en la promoción de educación ambiental y modelos de desarrollo alternativos sustentables que   </w:t>
      </w:r>
      <w:r w:rsidDel="00000000" w:rsidR="00000000" w:rsidRPr="00000000">
        <w:rPr>
          <w:rFonts w:ascii="Times New Roman" w:cs="Times New Roman" w:eastAsia="Times New Roman" w:hAnsi="Times New Roman"/>
          <w:i w:val="1"/>
          <w:sz w:val="24"/>
          <w:szCs w:val="24"/>
          <w:rtl w:val="0"/>
        </w:rPr>
        <w:t xml:space="preserve">permite la integración, diversificación y concientización de la comunidad y sus alrededores. </w:t>
      </w:r>
      <w:r w:rsidDel="00000000" w:rsidR="00000000" w:rsidRPr="00000000">
        <w:rPr>
          <w:rFonts w:ascii="Times New Roman" w:cs="Times New Roman" w:eastAsia="Times New Roman" w:hAnsi="Times New Roman"/>
          <w:sz w:val="24"/>
          <w:szCs w:val="24"/>
          <w:rtl w:val="0"/>
        </w:rPr>
        <w:t xml:space="preserve">Los resultados que se señalan en el informe son la culminación de estructura para cultivo hidropónico y la creación de la Escuela Ambiental. Se resalta la importancia de la Escuela Ambiental para la concientización de la comunidad para generar resistencia frente al modelo capitalista consumista. </w:t>
      </w:r>
    </w:p>
    <w:p w:rsidR="00000000" w:rsidDel="00000000" w:rsidP="00000000" w:rsidRDefault="00000000" w:rsidRPr="00000000" w14:paraId="0000001F">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0">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1">
      <w:pPr>
        <w:spacing w:after="160" w:line="360" w:lineRule="auto"/>
        <w:ind w:left="0" w:firstLine="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Justificación:</w:t>
      </w:r>
    </w:p>
    <w:p w:rsidR="00000000" w:rsidDel="00000000" w:rsidP="00000000" w:rsidRDefault="00000000" w:rsidRPr="00000000" w14:paraId="00000022">
      <w:pPr>
        <w:spacing w:after="160" w:line="360" w:lineRule="auto"/>
        <w:ind w:left="0" w:firstLine="720.0000000000001"/>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En primer lugar, para comprender la existencia de las desigualdades en la ciudad de Bogotá se deben reconocer sus factores estructurantes junto con las dinámicas que se originan en el territorio colombiano; en este sentido, hay desigualdades económicas y sociales que junto al conflicto armado ha generado desplazamiento de las personas a las ciudades donde buscan mejores condiciones de existencia. En general, estas personas con bajos recursos económicos llegan al sur de la ciudad; en barrios de la periferia que son catalogados como marginales, dentro de este contexto se generan vulneraciones hacia las personas que no les permite alcanzar una vida digna, pero donde también se generan procesos de resistencia y lucha. </w:t>
      </w:r>
    </w:p>
    <w:p w:rsidR="00000000" w:rsidDel="00000000" w:rsidP="00000000" w:rsidRDefault="00000000" w:rsidRPr="00000000" w14:paraId="00000023">
      <w:pPr>
        <w:spacing w:after="160" w:line="360" w:lineRule="auto"/>
        <w:ind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Por consiguiente, la Red de Lucha Contra el Hambre es una respuesta frente a las condiciones de existencia desiguales presentes en la periferia de la ciudad de Bogotá que busca la transformación social mediante la sustentabilidad y la autonomía alimentaria, el reconocimiento de la incidencia de las problemáticas ambientales en la vida cotidiana de las personas y la conformación de sujetos políticos que sean partícipes de la toma de decisiones para alcanzar una vida más justa y digna. Esta organización comunitaria también es una respuesta frente a los problemas sociales que están presentes en Colombia como el conflicto armado que genera desplazamiento interno o la tenencia de la tierra. </w:t>
      </w:r>
    </w:p>
    <w:p w:rsidR="00000000" w:rsidDel="00000000" w:rsidP="00000000" w:rsidRDefault="00000000" w:rsidRPr="00000000" w14:paraId="00000024">
      <w:pPr>
        <w:spacing w:after="160" w:line="360" w:lineRule="auto"/>
        <w:ind w:firstLine="720.0000000000001"/>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rtl w:val="0"/>
        </w:rPr>
        <w:t xml:space="preserve">La Red de Lucha Contra el Hambre no puede ser pensada sin tener en cuenta las condiciones de existencia de las personas porque son estas condiciones las que dan sentido a las acciones de las personas que dan forma a su experiencia y posicionamiento frente al mundo. Es en medio de estas condiciones donde se toman las decisiones para transformar su realidad y buscar otras alternativas frente al orden social presente; aquí también se busca otras significaciones para dar cuenta de otros mundos posibles que pueden ser construidos. También es importante destacar los valores comunitarios que permiten la relación con el otro que es distinto.</w:t>
      </w:r>
      <w:r w:rsidDel="00000000" w:rsidR="00000000" w:rsidRPr="00000000">
        <w:rPr>
          <w:rFonts w:ascii="Times New Roman" w:cs="Times New Roman" w:eastAsia="Times New Roman" w:hAnsi="Times New Roman"/>
          <w:sz w:val="24"/>
          <w:szCs w:val="24"/>
          <w:highlight w:val="white"/>
          <w:rtl w:val="0"/>
        </w:rPr>
        <w:t xml:space="preserve"> En este sentido, los objetivos del trabajo de campo que se realizó en la Red de Lucha Contra el Hambre son los siguientes: </w:t>
      </w:r>
    </w:p>
    <w:p w:rsidR="00000000" w:rsidDel="00000000" w:rsidP="00000000" w:rsidRDefault="00000000" w:rsidRPr="00000000" w14:paraId="00000025">
      <w:pPr>
        <w:numPr>
          <w:ilvl w:val="0"/>
          <w:numId w:val="1"/>
        </w:numPr>
        <w:spacing w:after="0" w:afterAutospacing="0" w:line="360" w:lineRule="auto"/>
        <w:ind w:left="1440" w:hanging="36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Proponer acciones que permitan fortalecer la Red de Lucha Contra el Hambre frente a las condiciones de existencia de las personas y la sostenibilidad de los proyectos comunitarios como el Museo Café y la Escuela Ambiental. </w:t>
      </w:r>
    </w:p>
    <w:p w:rsidR="00000000" w:rsidDel="00000000" w:rsidP="00000000" w:rsidRDefault="00000000" w:rsidRPr="00000000" w14:paraId="00000026">
      <w:pPr>
        <w:numPr>
          <w:ilvl w:val="0"/>
          <w:numId w:val="1"/>
        </w:numPr>
        <w:spacing w:after="0" w:afterAutospacing="0" w:line="360" w:lineRule="auto"/>
        <w:ind w:left="1440" w:hanging="360"/>
        <w:jc w:val="both"/>
        <w:rPr>
          <w:rFonts w:ascii="Times New Roman" w:cs="Times New Roman" w:eastAsia="Times New Roman" w:hAnsi="Times New Roman"/>
          <w:sz w:val="24"/>
          <w:szCs w:val="24"/>
          <w:highlight w:val="white"/>
          <w:u w:val="none"/>
        </w:rPr>
      </w:pPr>
      <w:r w:rsidDel="00000000" w:rsidR="00000000" w:rsidRPr="00000000">
        <w:rPr>
          <w:rFonts w:ascii="Times New Roman" w:cs="Times New Roman" w:eastAsia="Times New Roman" w:hAnsi="Times New Roman"/>
          <w:sz w:val="24"/>
          <w:szCs w:val="24"/>
          <w:highlight w:val="white"/>
          <w:rtl w:val="0"/>
        </w:rPr>
        <w:t xml:space="preserve">Identificar dificultades que están presentes en la cotidianidad de la Red de Lucha Contra el Hambre. </w:t>
      </w:r>
    </w:p>
    <w:p w:rsidR="00000000" w:rsidDel="00000000" w:rsidP="00000000" w:rsidRDefault="00000000" w:rsidRPr="00000000" w14:paraId="00000027">
      <w:pPr>
        <w:numPr>
          <w:ilvl w:val="0"/>
          <w:numId w:val="1"/>
        </w:numPr>
        <w:spacing w:after="160" w:line="360" w:lineRule="auto"/>
        <w:ind w:left="1440" w:hanging="360"/>
        <w:jc w:val="both"/>
        <w:rPr>
          <w:rFonts w:ascii="Times New Roman" w:cs="Times New Roman" w:eastAsia="Times New Roman" w:hAnsi="Times New Roman"/>
          <w:sz w:val="24"/>
          <w:szCs w:val="24"/>
          <w:highlight w:val="white"/>
          <w:u w:val="none"/>
        </w:rPr>
      </w:pPr>
      <w:r w:rsidDel="00000000" w:rsidR="00000000" w:rsidRPr="00000000">
        <w:rPr>
          <w:rFonts w:ascii="Times New Roman" w:cs="Times New Roman" w:eastAsia="Times New Roman" w:hAnsi="Times New Roman"/>
          <w:sz w:val="24"/>
          <w:szCs w:val="24"/>
          <w:highlight w:val="white"/>
          <w:rtl w:val="0"/>
        </w:rPr>
        <w:t xml:space="preserve">Reconocer la experiencia que tienen las personas que hacen parte de la Red de Lucha Contra el Hambre donde están presentes percepciones, sensaciones, y proyectos de vida</w:t>
      </w:r>
    </w:p>
    <w:p w:rsidR="00000000" w:rsidDel="00000000" w:rsidP="00000000" w:rsidRDefault="00000000" w:rsidRPr="00000000" w14:paraId="00000028">
      <w:pPr>
        <w:spacing w:after="160" w:line="360" w:lineRule="auto"/>
        <w:ind w:left="0" w:firstLine="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Marco Teórico: </w:t>
      </w:r>
    </w:p>
    <w:p w:rsidR="00000000" w:rsidDel="00000000" w:rsidP="00000000" w:rsidRDefault="00000000" w:rsidRPr="00000000" w14:paraId="00000029">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El marco teórico utilizado para el presente informe es: Sujeto político, poder popular, educación popular y algunas características de la sistematización de experiencias; esto con el fin de comprender las dinámicas que se generan en el campo de práctica Red de Lucha Contra el Hambre donde esta la oportunidad de reflexionar sobre el mundo actual y proponer alternativas para generar procesos de transformación frente a la realidad que es compartida pero donde cada experiencia y/o vivencia genera un relacionamiento particular con el mundo. </w:t>
      </w:r>
    </w:p>
    <w:p w:rsidR="00000000" w:rsidDel="00000000" w:rsidP="00000000" w:rsidRDefault="00000000" w:rsidRPr="00000000" w14:paraId="0000002A">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Para reconocer el lugar que tienen las personas a la hora de generar procesos de resistencia, lucha y transformación de sus condiciones de existencia hay que resaltar su papel en el avance de la sociedad donde se defiende sus intereses de clase y de grupo; esto Fals Borda lo define como el poder popular y tiene en cuenta la capacidad que tienen los grupos de base para actuar políticamente. En este ejercicio político se debe pensar en cuáles son las características que debería tener un sujeto político o qué dimensiones se deben tener en cuenta para su formación. </w:t>
      </w:r>
    </w:p>
    <w:p w:rsidR="00000000" w:rsidDel="00000000" w:rsidP="00000000" w:rsidRDefault="00000000" w:rsidRPr="00000000" w14:paraId="0000002B">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 este sentido, la formación de la subjetividad política va a tener en cuenta cinco dimensiones: Identidad, en donde se pregunta por él “quien”; esa persona que tiene su experiencia particular junto con un proyecto de vida que influye en su toma de decisiones; también se tiene en cuenta sus tradiciones determinadas, valores, su historia, comportamientos, entre otros. En el reconocimiento de dicha identidad se destacan los marcos sociales, culturales, económicos e históricos que inciden en las elecciones. La importancia de problematizar la identidad para la consolidación de la subjetividad política es aceptar la diferencia (lo propio y lo extraño) que tienen las personas frente a la manera en cómo se percibe y se relaciona con la realidad; esto es contrapoder frente a la homogeneización y los estilos de vida que imponen los poderes hegemónicos.   </w:t>
      </w:r>
    </w:p>
    <w:p w:rsidR="00000000" w:rsidDel="00000000" w:rsidP="00000000" w:rsidRDefault="00000000" w:rsidRPr="00000000" w14:paraId="0000002C">
      <w:pPr>
        <w:spacing w:after="160" w:line="360" w:lineRule="auto"/>
        <w:ind w:firstLine="720.0000000000001"/>
        <w:jc w:val="right"/>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La apelación al "recurso" de la identidad comporta una dimensión fuertemente política expresada en la idea de la ciudadanía, la cual presupone la existencia y perdurabilidad de la estructura del Estado-nación. (Ruiz &amp; Prada, 2012, p. 45). </w:t>
      </w:r>
    </w:p>
    <w:p w:rsidR="00000000" w:rsidDel="00000000" w:rsidP="00000000" w:rsidRDefault="00000000" w:rsidRPr="00000000" w14:paraId="0000002D">
      <w:pPr>
        <w:spacing w:after="160" w:line="360" w:lineRule="auto"/>
        <w:ind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 mismo tiempo la narración para la formación de sujeto político posibilita dar sentido a los acontecimientos y decisiones que se han tomado; también se reconoce los intereses compartidos y el significado que se le dan a las prácticas sociales y políticas. Dentro de los procesos de narración se generan las preguntas de ¿Quién Soy? para identificar el lugar y el posicionamiento frente a lo que acontece en la realidad; la narración es un acto intersubjetivo que genera interlocución con el otro, dentro estas narrativas se reconoce modos de entender la vida, de valorar lo justo y lo bueno, modos de reclamar los derechos. </w:t>
      </w:r>
    </w:p>
    <w:p w:rsidR="00000000" w:rsidDel="00000000" w:rsidP="00000000" w:rsidRDefault="00000000" w:rsidRPr="00000000" w14:paraId="0000002E">
      <w:pPr>
        <w:spacing w:after="160" w:line="360" w:lineRule="auto"/>
        <w:ind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 narración y la identidad están constituidas por la memoria porque es en este acto donde se da sentido a lo vivido y donde nos representamos a nosotros mismo junto con los otros; se puede hablar de memoria y de memoria colectiva, esta última es importante para generar significados, procesos de resistencia, exigibilidad de derechos frente a momentos que hacen parte de la historia que no pueden ser olvidados y donde es necesario generar proceso de sanación dentro de la sociedad colombiana. Piedad Ortega señala que </w:t>
      </w:r>
      <w:r w:rsidDel="00000000" w:rsidR="00000000" w:rsidRPr="00000000">
        <w:rPr>
          <w:rFonts w:ascii="Times New Roman" w:cs="Times New Roman" w:eastAsia="Times New Roman" w:hAnsi="Times New Roman"/>
          <w:i w:val="1"/>
          <w:sz w:val="24"/>
          <w:szCs w:val="24"/>
          <w:rtl w:val="0"/>
        </w:rPr>
        <w:t xml:space="preserve">la memoria es también una pregunta por el devenir, por lo que transcurre callado; silenciado</w:t>
      </w:r>
      <w:r w:rsidDel="00000000" w:rsidR="00000000" w:rsidRPr="00000000">
        <w:rPr>
          <w:rFonts w:ascii="Times New Roman" w:cs="Times New Roman" w:eastAsia="Times New Roman" w:hAnsi="Times New Roman"/>
          <w:sz w:val="24"/>
          <w:szCs w:val="24"/>
          <w:rtl w:val="0"/>
        </w:rPr>
        <w:t xml:space="preserve">, son aquellas experiencias que se quieren mantener invisibilizadas porque están conformadas por otros tipos de relacionamiento y significaciones frente al mundo que lo rodea. </w:t>
      </w:r>
    </w:p>
    <w:p w:rsidR="00000000" w:rsidDel="00000000" w:rsidP="00000000" w:rsidRDefault="00000000" w:rsidRPr="00000000" w14:paraId="0000002F">
      <w:pPr>
        <w:spacing w:after="160" w:line="360" w:lineRule="auto"/>
        <w:ind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 este sentido, las diferentes experiencias se encuentran enmarcadas en condiciones de contexto económico, político y social; así como el momento histórico y el espacio geográfico donde hay situaciones particulares donde las personas actúan de manera intencionada o inintencionada, planificada o imprevista que genera determinados resultados o efectos La experiencia tiene presente las percepciones, sensaciones, emociones e interpretaciones de cada persona donde se generan diferentes relacionamientos con los otros. </w:t>
      </w:r>
    </w:p>
    <w:p w:rsidR="00000000" w:rsidDel="00000000" w:rsidP="00000000" w:rsidRDefault="00000000" w:rsidRPr="00000000" w14:paraId="00000030">
      <w:pPr>
        <w:spacing w:after="160" w:line="360" w:lineRule="auto"/>
        <w:ind w:firstLine="720.0000000000001"/>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i w:val="1"/>
          <w:sz w:val="24"/>
          <w:szCs w:val="24"/>
          <w:rtl w:val="0"/>
        </w:rPr>
        <w:t xml:space="preserve">En este entramado complejo, multidimensional y pluridireccional de factores objetivos y subjetivos que constituye lo que llamamos experiencia, no hay simplemente hechos y cosas que suceden; hay personas que hacemos que ellos ocurran y que nos impacten” (Jara, 2018, pp. 53).</w:t>
      </w:r>
      <w:r w:rsidDel="00000000" w:rsidR="00000000" w:rsidRPr="00000000">
        <w:rPr>
          <w:rtl w:val="0"/>
        </w:rPr>
      </w:r>
    </w:p>
    <w:p w:rsidR="00000000" w:rsidDel="00000000" w:rsidP="00000000" w:rsidRDefault="00000000" w:rsidRPr="00000000" w14:paraId="00000031">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 memoria dentro de la conformación de la subjetividad política debe permitir problematizar la memoria que ha sido impuesta y los olvidos que mantienen el status quo; tanto la identidad así como la narración y la memoria deben generar un posicionamiento frente al mundo; Ruiz &amp; Prada señalan que el posicionamiento es un acontecer profundamente político siendo un acto relacional porque hay posicionamiento cuando se hace con otros o por otros y; finalmente, para la conformación de la subjetividad política es necesario la proyección esta puede ser vista desde dos enfoques: la primera el destino que puede tener la humanidad si se continúa con las relaciones de dominio y explotación frente a la naturaleza y el ser humano, se estaría más cerca de la autodestrucción. </w:t>
      </w:r>
    </w:p>
    <w:p w:rsidR="00000000" w:rsidDel="00000000" w:rsidP="00000000" w:rsidRDefault="00000000" w:rsidRPr="00000000" w14:paraId="00000032">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Pero también se puede ver la proyección desde la oportunidad para intervenir sobre la realidad donde se generan procesos de transformación desde diferentes perspectivas y miradas sobre el mundo. El poder proyectar el mundo deseado va a generar en las personas la idea de que la historia es construida entre todos y que está en nuestras pies el camino que se quiere transitar para tener una sociedad donde los conflictos no se “solucionen” mediante la violencia, o donde los anhelos y sueños de las personas no sean olvidados por el paso del tiempo, o alcanzar una sociedad más equitativa y justa. La proyección es como la utopía que se quiere alcanzar y que van a encaminar las acciones y el esfuerzo en el presente. </w:t>
      </w:r>
    </w:p>
    <w:p w:rsidR="00000000" w:rsidDel="00000000" w:rsidP="00000000" w:rsidRDefault="00000000" w:rsidRPr="00000000" w14:paraId="00000033">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Por otro lado, la educación popular desde el enfoque de Freire reconoce que la educación debe ser una práctica liberadora que lucha en contra de las desigualdades presentes en la sociedad,  en este sentido se busca que las personas tomen conciencia sobre el lugar que ocupa en el mundo (oprimido),  </w:t>
      </w:r>
      <w:r w:rsidDel="00000000" w:rsidR="00000000" w:rsidRPr="00000000">
        <w:rPr>
          <w:rFonts w:ascii="Times New Roman" w:cs="Times New Roman" w:eastAsia="Times New Roman" w:hAnsi="Times New Roman"/>
          <w:i w:val="1"/>
          <w:sz w:val="24"/>
          <w:szCs w:val="24"/>
          <w:rtl w:val="0"/>
        </w:rPr>
        <w:t xml:space="preserve">el hecho de reconocerse como oprimidos los compromete en la lucha por liberarse;</w:t>
      </w:r>
      <w:r w:rsidDel="00000000" w:rsidR="00000000" w:rsidRPr="00000000">
        <w:rPr>
          <w:rFonts w:ascii="Times New Roman" w:cs="Times New Roman" w:eastAsia="Times New Roman" w:hAnsi="Times New Roman"/>
          <w:sz w:val="24"/>
          <w:szCs w:val="24"/>
          <w:rtl w:val="0"/>
        </w:rPr>
        <w:t xml:space="preserve"> por lo que la educación como práctica de libertad debe permitir la recuperación de la humanidad que se ha perdido en una sociedad que trata al ser humano como objeto, para alcanzar la liberación es necesario reflexionar sobre la relación opresor/oprimido y sus causas. </w:t>
      </w:r>
    </w:p>
    <w:p w:rsidR="00000000" w:rsidDel="00000000" w:rsidP="00000000" w:rsidRDefault="00000000" w:rsidRPr="00000000" w14:paraId="00000034">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 este punto, poder problematizar el mundo en el que se encuentra el oprimido significa acceder a la realidad desde la relación dialéctica entre subjetividad-objetividad reconociendo que la realidad social objetiva es producto de la acción de los hombres y que para transformarla se requiere de la inmersión crítica donde hay correlación entre acción y reflexión. </w:t>
      </w:r>
      <w:r w:rsidDel="00000000" w:rsidR="00000000" w:rsidRPr="00000000">
        <w:rPr>
          <w:rFonts w:ascii="Times New Roman" w:cs="Times New Roman" w:eastAsia="Times New Roman" w:hAnsi="Times New Roman"/>
          <w:i w:val="1"/>
          <w:sz w:val="24"/>
          <w:szCs w:val="24"/>
          <w:rtl w:val="0"/>
        </w:rPr>
        <w:t xml:space="preserve">Cuanto más descubren, las masas populares, la realidad objetiva y desafiadora sobre la cual debe incidir su acción transformadora, tanto más se “insertan” en ella críticamente. (Freire, 1970, p. 53). </w:t>
      </w:r>
      <w:r w:rsidDel="00000000" w:rsidR="00000000" w:rsidRPr="00000000">
        <w:rPr>
          <w:rFonts w:ascii="Times New Roman" w:cs="Times New Roman" w:eastAsia="Times New Roman" w:hAnsi="Times New Roman"/>
          <w:sz w:val="24"/>
          <w:szCs w:val="24"/>
          <w:rtl w:val="0"/>
        </w:rPr>
        <w:t xml:space="preserve">Es esta inmersión crítica de la realidad donde las personas empiezan a reconocer los condicionantes que tienen para alcanzar una vida digna para luego direccionar sus acciones. </w:t>
      </w:r>
    </w:p>
    <w:p w:rsidR="00000000" w:rsidDel="00000000" w:rsidP="00000000" w:rsidRDefault="00000000" w:rsidRPr="00000000" w14:paraId="00000035">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Dentro de los postulados de Freire se da importancia a la práctica dialógica para generar procesos de transformación que permite el consenso, la toma de decisiones, la escucha activa, la búsqueda de sentidos y sobre todo el reconocimiento del otro que puede o no pensar diferente. En este reconocimiento del otro que se genera en el acto comunicativo se evidencia las vivencias, las experiencias y los diferentes significados que se le da a la acción humana; este como acto creador y recreador que permite generar otras formas de relacionamientos y comprensión frente a otras maneras de existir en el mundo. </w:t>
      </w:r>
    </w:p>
    <w:p w:rsidR="00000000" w:rsidDel="00000000" w:rsidP="00000000" w:rsidRDefault="00000000" w:rsidRPr="00000000" w14:paraId="00000036">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Por otro lado, la construcción del poder popular desde la IAP (Investigación Acción Participativa) tiene en cuenta la combinación de la investigación científica y la acción política para transformar la realidad social y económica. Fals Borda define el poder popular como la capacidad de los grupos de base (explotados hoy por sistemas socioeconómicos) de actuar políticamente y de articular y sistematizar conocimientos (el propio y el externo), de tal manera que puedan asumir un papel protagónico en el avance de la sociedad y en la defensa de sus propios intereses de clase y de grupo. </w:t>
      </w:r>
    </w:p>
    <w:p w:rsidR="00000000" w:rsidDel="00000000" w:rsidP="00000000" w:rsidRDefault="00000000" w:rsidRPr="00000000" w14:paraId="00000037">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Los propósitos de combinar poder y conocimiento son: capacitar a las clases o grupos explotados para generar procesos de transformación que pueden ser traducidos en proyectos, obras, luchas y/o desarrollos concretos; producir y elaborar el pensamiento sociopolítico propio de las bases populares. Para tal fin es necesario saber interactuar y organizarse con dichos fines y saber </w:t>
      </w:r>
      <w:r w:rsidDel="00000000" w:rsidR="00000000" w:rsidRPr="00000000">
        <w:rPr>
          <w:rFonts w:ascii="Times New Roman" w:cs="Times New Roman" w:eastAsia="Times New Roman" w:hAnsi="Times New Roman"/>
          <w:sz w:val="24"/>
          <w:szCs w:val="24"/>
          <w:rtl w:val="0"/>
        </w:rPr>
        <w:t xml:space="preserve">reconocer (se) y</w:t>
      </w:r>
      <w:r w:rsidDel="00000000" w:rsidR="00000000" w:rsidRPr="00000000">
        <w:rPr>
          <w:rFonts w:ascii="Times New Roman" w:cs="Times New Roman" w:eastAsia="Times New Roman" w:hAnsi="Times New Roman"/>
          <w:sz w:val="24"/>
          <w:szCs w:val="24"/>
          <w:rtl w:val="0"/>
        </w:rPr>
        <w:t xml:space="preserve"> aprender dentro de estos contextos. Dentro de la interacción y organización se tiene en cuenta la vivencia para así aprehender de su realidad, experimentamos nuestro propio ser en su contexto total cuando sentimos, gozamos y entendemos los fenómenos cotidianos. </w:t>
      </w:r>
    </w:p>
    <w:p w:rsidR="00000000" w:rsidDel="00000000" w:rsidP="00000000" w:rsidRDefault="00000000" w:rsidRPr="00000000" w14:paraId="00000038">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Como hemos visto, para generar procesos de transformación desde el enfoque planteado por Borda se hace necesaria la unión entre el conocimiento y el poder para generar acción política. En este sentido, hay que reconocer la tensión dialéctica entre el saber cartesiano y el saber experiencia o práctico, uno no tiene más jerarquía que el otro sino que son complementarios para alcanzar un conocimiento científico total de índole revolucionario. También hay que reconocer el binomio sujeto/objeto que mantiene relaciones de sumisión y dependencia que no permite la participación auténtica de las personas, Borda menciona que el rompimiento de dicho binomio en nuestra práctica permite rechazar dogmatismos y estructuras verticale autoritarias así como pautas tradicionales abusivas de explotación y dominio. </w:t>
      </w:r>
    </w:p>
    <w:p w:rsidR="00000000" w:rsidDel="00000000" w:rsidP="00000000" w:rsidRDefault="00000000" w:rsidRPr="00000000" w14:paraId="00000039">
      <w:pPr>
        <w:spacing w:after="160" w:line="360" w:lineRule="auto"/>
        <w:ind w:left="0" w:firstLine="720.0000000000001"/>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En este sentido, se reconoce que cuando el conocimiento tiene un valor absoluto es considerado como fetiche ya que el conocimiento es válido, útil para determinados fines, propósitos humanos determinados, por lo tanto, s</w:t>
      </w:r>
      <w:r w:rsidDel="00000000" w:rsidR="00000000" w:rsidRPr="00000000">
        <w:rPr>
          <w:rFonts w:ascii="Times New Roman" w:cs="Times New Roman" w:eastAsia="Times New Roman" w:hAnsi="Times New Roman"/>
          <w:i w:val="1"/>
          <w:sz w:val="24"/>
          <w:szCs w:val="24"/>
          <w:rtl w:val="0"/>
        </w:rPr>
        <w:t xml:space="preserve">e debe remover las relaciones de producción de conocimiento que tienden a sostener ideológicamente la estructura de la injusticia y las actuales fuerzas destructoras de la sociedad y del mundo (Borda, 1985, p. 130). </w:t>
      </w:r>
    </w:p>
    <w:p w:rsidR="00000000" w:rsidDel="00000000" w:rsidP="00000000" w:rsidRDefault="00000000" w:rsidRPr="00000000" w14:paraId="0000003A">
      <w:pPr>
        <w:spacing w:after="160" w:line="360" w:lineRule="auto"/>
        <w:ind w:left="720" w:firstLine="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Descripción de actividades: </w:t>
      </w:r>
    </w:p>
    <w:p w:rsidR="00000000" w:rsidDel="00000000" w:rsidP="00000000" w:rsidRDefault="00000000" w:rsidRPr="00000000" w14:paraId="0000003B">
      <w:pPr>
        <w:spacing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 primer lugar, se tiene en cuenta la importancia de la sistematización de experiencias para la  construcción de conocimientos y descubrimiento del sentido de los vivido se hace un ejercicio crítico de las diferentes experiencias que dan cuenta de la complejidad de la vida. La sistematización de experiencias es un ejercicio intencionado que busca recrear saberes donde hay una interpretación, teorización y apropiación consciente de lo vivido. Las diferentes conceptualizaciones de sistematización de experiencias tienen en común los siguientes puntos: Es un proceso de reflexión individual y colectiva; gira en torno a una práctica realizada o vivida, provoca una mirada crítica sobre la experiencia; produce nuevos conocimientos y realiza una reconstrucción de la experiencias.</w:t>
      </w:r>
    </w:p>
    <w:p w:rsidR="00000000" w:rsidDel="00000000" w:rsidP="00000000" w:rsidRDefault="00000000" w:rsidRPr="00000000" w14:paraId="0000003C">
      <w:pPr>
        <w:spacing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Para describir las actividades que se realizaron en el campo de práctica Red de Lucha Contra el Hambre específicamente el museo café hay que reconocer la importancia del acto dialógico para reconocer al otro dentro de su particularidad cotidiana, en este caso la vida del reciclador que es también un sujeto político que busca cambiar sus condiciones de existencia y aportar en la construcción cultural en el barrio El paraíso y Bella Flor. Es en medio del acto comunicativo donde hay un intercambio de saberes entre el agente externo (estudiante en formación de la licenciatura de ciencias sociales de la universidad Distrital) y los agentes internos que hacen parte de la red (Don Alexander, Doña Martha, Don Jorge, Doña Nuri).</w:t>
      </w:r>
    </w:p>
    <w:p w:rsidR="00000000" w:rsidDel="00000000" w:rsidP="00000000" w:rsidRDefault="00000000" w:rsidRPr="00000000" w14:paraId="0000003D">
      <w:pPr>
        <w:spacing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Como agente externo hay intereses particulares como los académicos a la hora de generar vínculos con las personas de la comunidad, estos intereses se transformaron en la interacción con la vida cotidiana de Don Alexander y Doña Martha, si bien los propósitos eran apoyar el museo en cuanto a las diferentes tareas que se podrían presentar para un adecuado funcionamiento o el reconocimiento de la experiencia del reciclador como actor revolucionario ante una sociedad consumista; las necesidades de ellos eran otras. Por ejemplo, en una de las semanas de trabajo de campo ellos tenían que desocupar una bodega de reciclaje ya que representaba un gasto adicional. </w:t>
      </w:r>
    </w:p>
    <w:p w:rsidR="00000000" w:rsidDel="00000000" w:rsidP="00000000" w:rsidRDefault="00000000" w:rsidRPr="00000000" w14:paraId="0000003E">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 medio de esta necesidad inmediata ellos me solicitaron mi colaboración para recoger materiales que se encontraban dentro de la bodega o en otra ocasión de colaborar a llevar unos palos a la chatarrería, es aquí donde empiezo a comprender el trabajo del dia a dia de don Alexander y doña Martha junto con las contingencias que se pueden presentar. Es en medio de este acercamiento con la realidad del reciclador donde descubro los vínculos que se generan en la comunidad cuando se generan intercambios de objetos dentro de la chatarrería, pero también de las condiciones desiguales que están presentes en la ciudad de Bogotá sobre todo en los barrios que hacen parte de la periferia, una cosa es intentar comprender las desigualdades sociales desde marcos teóricos y otra muy distinta descubrir la realidad que genera la desigualdad en este orden económico capitalista. </w:t>
      </w:r>
    </w:p>
    <w:p w:rsidR="00000000" w:rsidDel="00000000" w:rsidP="00000000" w:rsidRDefault="00000000" w:rsidRPr="00000000" w14:paraId="0000003F">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Los vínculos que se generan van más allá del intercambio para satisfacer necesidades básicas como la alimentación, sino que también se reconocen las potencialidades que se encuentran dentro del territorio como los diferentes artistas que hacen parte de él. También se reconocen los sueños compartidos para alcanzar una vida digna que es pensado desde la importancia de lo que se puede devolver a la comunidad. Por otro lado, se ve el rebusque de las personas en una sociedad de escasas oportunidades y el valor del trabajador colombiano; esto rompe con los discursos hegemónicos del trabajador perezoso que no quiere trabajar; aquí es importante problematizar la precarización laboral que tienen las personas y aún más la precarización de las personas que hacen parte de la informalidad. </w:t>
      </w:r>
    </w:p>
    <w:p w:rsidR="00000000" w:rsidDel="00000000" w:rsidP="00000000" w:rsidRDefault="00000000" w:rsidRPr="00000000" w14:paraId="00000040">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 este punto es donde se visibiliza la vulnerabilidad social de las personas, el riesgo y la incertidumbre que deben afrontar en el día a día; esto necesariamente se debe relacionar con los derechos humanos relacionado con la dignidad y el lugar de la institucionalidad para velar por los derechos de las personas. En el acto comunicativo que se mantuvo en el campo de práctica red de lucha contra el hambre se identifican las necesidades y las problemáticas de la población pero también sus sueños y proyectos, esto como factor fundamental para empezar a generar narrativas en la conformación de un sujeto político que tenga la capacidad de decidir sobre su destino; en sus manos se encuentra la construcción de su propia historia. </w:t>
      </w:r>
    </w:p>
    <w:p w:rsidR="00000000" w:rsidDel="00000000" w:rsidP="00000000" w:rsidRDefault="00000000" w:rsidRPr="00000000" w14:paraId="00000041">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Por otro lado, hay que mencionar que dentro del campo de práctica hubieron compromisos que no se cumplieron ocasionando que se dejara “solo” las iniciativas que se están generando en el Barrio Bella Flor como la Escuela Ambiental; aquí se puede reflexionar sobre la voluntad para la transformación y el compromiso que se tiene con los movimientos sociales. Desde Fals Borda se reconoce la vivencia comprometida como el lugar que tiene el investigador social frente a los procesos comunitarios o luchas populares donde hay metas compartidas para la transformación, no se puede instrumentalizar a las comunidades solo para los intereses propios, puesto que nuestro compromiso-acción es para las bases populares. </w:t>
      </w:r>
    </w:p>
    <w:p w:rsidR="00000000" w:rsidDel="00000000" w:rsidP="00000000" w:rsidRDefault="00000000" w:rsidRPr="00000000" w14:paraId="00000042">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Instrumentar a las personas es tratarlas como “cosas” es decir son deshumanizadas lo que genera que aún se mantenga el dominio y la explotación, este es un estado que se quiere superar con las pedagogías de la libertad; es la superación de la relación opresor-oprimido teniendo en cuenta que el oprimido también puede ser opresor. Este es un sentimiento que tiene Don Alexander, Doña Martha, Don Jorge, Doña Nuri, llevándolos a la desmotivación y desconfianza de agentes externos. Se debe destacar que no se pueden dejar solo estos procesos sociales porque pueden desaparecer o en un caso más extremos que se puede ver a nivel global en el país es el asesinato de líderes sociales junto con su propuestas, sueños y esperanzas para alcanzar otros mundos posibles.</w:t>
      </w:r>
    </w:p>
    <w:p w:rsidR="00000000" w:rsidDel="00000000" w:rsidP="00000000" w:rsidRDefault="00000000" w:rsidRPr="00000000" w14:paraId="00000043">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 medio de esta experiencia también se cuestiona el lugar de la academia frente a la transformación social y se problematiza su lugar cuando la comunidad tiene necesidades básicas no resueltas, pero como se ha señalado en el marco teórico del presente informe es importante la construcción de conocimiento desde lo académico y popular para generar acción política. Es por ello que necesitamos ser creativos y lograr tejer red de significados en torno a la Escuela Ambiental y el Museo Café para que las personas de la comunidad se apropien del espacio, sientan que deben ser protegidos. Finalmente se reconoce el valor de la palabra que estuvo presente en el campo de práctica ya que permite generar consensos, reconocer al otro diferente, crear y transformar la realidad.  </w:t>
      </w:r>
    </w:p>
    <w:p w:rsidR="00000000" w:rsidDel="00000000" w:rsidP="00000000" w:rsidRDefault="00000000" w:rsidRPr="00000000" w14:paraId="00000044">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Propuestas:</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45">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 propone darle una nueva imagen a la identidad corporativa del Museo Café ya que para tener mayor alcance a nivel audiovisual se requiere de cierto tipo de contenidos y etiquetas las cuales vayan de acorde a las tendencias en el mundo del diseño y del uso de las redes sociales entendiendo el funcionamiento de los algoritmos de estas, para ello se propone lo siguiente:</w:t>
      </w:r>
    </w:p>
    <w:p w:rsidR="00000000" w:rsidDel="00000000" w:rsidP="00000000" w:rsidRDefault="00000000" w:rsidRPr="00000000" w14:paraId="00000046">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-Creación de un nuevo Logo </w:t>
      </w:r>
    </w:p>
    <w:p w:rsidR="00000000" w:rsidDel="00000000" w:rsidP="00000000" w:rsidRDefault="00000000" w:rsidRPr="00000000" w14:paraId="00000047">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-Innovación en papelería y señalización del Museo</w:t>
      </w:r>
    </w:p>
    <w:p w:rsidR="00000000" w:rsidDel="00000000" w:rsidP="00000000" w:rsidRDefault="00000000" w:rsidRPr="00000000" w14:paraId="00000048">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-Reformulación de contenidos digitales en las plataformas TIK TOK, Instagram, Facebook y YouTube</w:t>
      </w:r>
    </w:p>
    <w:p w:rsidR="00000000" w:rsidDel="00000000" w:rsidP="00000000" w:rsidRDefault="00000000" w:rsidRPr="00000000" w14:paraId="00000049">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-Cambio en la paleta de colores.</w:t>
      </w:r>
    </w:p>
    <w:p w:rsidR="00000000" w:rsidDel="00000000" w:rsidP="00000000" w:rsidRDefault="00000000" w:rsidRPr="00000000" w14:paraId="0000004A">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Frente a la creación del nuevo logo se pretende utilizar las tendencias minimalistas en el diseño gráfico lo cual permite que el logo tenga una carga visual más amena, para de esta manera lograr que el transeúnte tanto digital como presencial se sienta atraído hacia este logo</w:t>
      </w:r>
    </w:p>
    <w:p w:rsidR="00000000" w:rsidDel="00000000" w:rsidP="00000000" w:rsidRDefault="00000000" w:rsidRPr="00000000" w14:paraId="0000004B">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El cambio a la paleta de colores es en busca de generar mayor armonía tanto en recursos audiovisuales como analógicos (tarjetas, flyers, pendones, iconos, emblemas) </w:t>
      </w:r>
    </w:p>
    <w:p w:rsidR="00000000" w:rsidDel="00000000" w:rsidP="00000000" w:rsidRDefault="00000000" w:rsidRPr="00000000" w14:paraId="0000004C">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 Innovación en papelería y señalización tiene como objetivo dar un aire más moderno y estético lo cual logra cautivar la atención del público de a pie y digital de tal manera que el visitar el Museo se vuelva una necesidad.</w:t>
      </w:r>
    </w:p>
    <w:p w:rsidR="00000000" w:rsidDel="00000000" w:rsidP="00000000" w:rsidRDefault="00000000" w:rsidRPr="00000000" w14:paraId="0000004D">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Teniendo lo anterior en mente es fundamental crear nuevos contenidos audiovisuales los cuales entren en el sistema de recomendaciones del algoritmo en las diversas plataformas logrando así una mayor visibilidad en redes buscando cautivar a los usuarios de tal manera que se acerquen a conocer el Museo, para ello se recomienda hacer una inversión en ciertos suministros para mejorar la calidad del producto audiovisual (micrófonos, audífonos, etc), de igual manera se plantea usar Hashtags los cuales permiten que usuarios que siguen estas corrientes digitales puedan llegar a estos contenidos para ello se realizará previamente un estudio de las tendencias más fuertes en cada una de las redes en las que se publique. junto a lo anteriormente planteado también se debe buscar o tratar de modificar cierto lenguaje (tanto audiovisual como oral) con el propósito de entrar en un lenguaje más popular para dichas redes. </w:t>
      </w:r>
    </w:p>
    <w:p w:rsidR="00000000" w:rsidDel="00000000" w:rsidP="00000000" w:rsidRDefault="00000000" w:rsidRPr="00000000" w14:paraId="0000004E">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Lograr que el museo café sea sostenible económicamente va permitir que el espacio empiece a ser utilizado como un lugar para el encuentro para la comunidad, desde el enfoque pedagógico este espacio tiene la potencialidad para la enseñanza de las ciencias sociales desde diferentes enfoques como el histórico o poder narrar la memoria de la localidad para reconocer por ejemplo el cómo se han conformado los barrios en la ciudad de Bogotá; también es un espacio para problematizar el estilo de vida que se ha impuesto por el sistema </w:t>
      </w:r>
      <w:r w:rsidDel="00000000" w:rsidR="00000000" w:rsidRPr="00000000">
        <w:rPr>
          <w:rFonts w:ascii="Times New Roman" w:cs="Times New Roman" w:eastAsia="Times New Roman" w:hAnsi="Times New Roman"/>
          <w:sz w:val="24"/>
          <w:szCs w:val="24"/>
          <w:rtl w:val="0"/>
        </w:rPr>
        <w:t xml:space="preserve">economico</w:t>
      </w:r>
      <w:r w:rsidDel="00000000" w:rsidR="00000000" w:rsidRPr="00000000">
        <w:rPr>
          <w:rFonts w:ascii="Times New Roman" w:cs="Times New Roman" w:eastAsia="Times New Roman" w:hAnsi="Times New Roman"/>
          <w:sz w:val="24"/>
          <w:szCs w:val="24"/>
          <w:rtl w:val="0"/>
        </w:rPr>
        <w:t xml:space="preserve"> capitalista y la incidencia que este genera en la naturaleza. </w:t>
      </w:r>
    </w:p>
    <w:p w:rsidR="00000000" w:rsidDel="00000000" w:rsidP="00000000" w:rsidRDefault="00000000" w:rsidRPr="00000000" w14:paraId="0000004F">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 proyección que se tiene sobre el museo café es que este sea un espacio que deba ser protegido por las personas de la comunidad del barrio Paraíso, un punto de encuentro para la formación de la subjetividad política y la consolidación del poder popular. Este último punto es importante porque es donde se articula con la Escuela Ambiental con sus diferentes propuestas que se encaminan a la soberanía alimentaria del Barrio Bella Flor, en dicha escuela se puede apreciar esos otros relacionamientos con la naturaleza y la búsqueda de satisfacer una necesidad básica como la alimentación y el derecho a la salud. </w:t>
      </w:r>
    </w:p>
    <w:p w:rsidR="00000000" w:rsidDel="00000000" w:rsidP="00000000" w:rsidRDefault="00000000" w:rsidRPr="00000000" w14:paraId="00000050">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Dentro de las conversaciones con Don Jorge se enfatizan en las líneas de acción que hay que fortalecer y acompañar, una de ellas el articulación del proyecto del comedor comunitario de los profesores Katerin y Sebastian, en este punto es importante apoyar el proceso de exigibilidad del derecho que tienen las personas a una alimentación saludable, por lo tanto, es necesario reconocer los mecanismo de protección para garantizar su cumplimiento donde no se puede quedar en la conceptualización sino fortalecer las vías de hecho. Es importante fortalecer el vínculo entre las diferentes iniciativas que se encuentran en el territorio para generar incidencia y alcanzar los sueños y esperanzas que tienen las personas que buscan mejorar sus condiciones de existencia pero sobre todo buscan transformar la realidad que es compartida por todos y todas. </w:t>
      </w:r>
    </w:p>
    <w:p w:rsidR="00000000" w:rsidDel="00000000" w:rsidP="00000000" w:rsidRDefault="00000000" w:rsidRPr="00000000" w14:paraId="00000051">
      <w:pPr>
        <w:spacing w:after="160" w:line="360" w:lineRule="auto"/>
        <w:ind w:left="0" w:firstLine="720.0000000000001"/>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Fotografías: </w:t>
      </w:r>
      <w:r w:rsidDel="00000000" w:rsidR="00000000" w:rsidRPr="00000000">
        <w:drawing>
          <wp:anchor allowOverlap="1" behindDoc="0" distB="114300" distT="114300" distL="114300" distR="114300" hidden="0" layoutInCell="1" locked="0" relativeHeight="0" simplePos="0">
            <wp:simplePos x="0" y="0"/>
            <wp:positionH relativeFrom="column">
              <wp:posOffset>476250</wp:posOffset>
            </wp:positionH>
            <wp:positionV relativeFrom="paragraph">
              <wp:posOffset>383518</wp:posOffset>
            </wp:positionV>
            <wp:extent cx="2186889" cy="1645803"/>
            <wp:effectExtent b="0" l="0" r="0" t="0"/>
            <wp:wrapSquare wrapText="bothSides" distB="114300" distT="114300" distL="114300" distR="114300"/>
            <wp:docPr id="2" name="image5.jpg"/>
            <a:graphic>
              <a:graphicData uri="http://schemas.openxmlformats.org/drawingml/2006/picture">
                <pic:pic>
                  <pic:nvPicPr>
                    <pic:cNvPr id="0" name="image5.jpg"/>
                    <pic:cNvPicPr preferRelativeResize="0"/>
                  </pic:nvPicPr>
                  <pic:blipFill>
                    <a:blip r:embed="rId7"/>
                    <a:srcRect b="0" l="0" r="0" t="0"/>
                    <a:stretch>
                      <a:fillRect/>
                    </a:stretch>
                  </pic:blipFill>
                  <pic:spPr>
                    <a:xfrm>
                      <a:off x="0" y="0"/>
                      <a:ext cx="2186889" cy="1645803"/>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519113</wp:posOffset>
            </wp:positionH>
            <wp:positionV relativeFrom="paragraph">
              <wp:posOffset>2686050</wp:posOffset>
            </wp:positionV>
            <wp:extent cx="2105739" cy="1585913"/>
            <wp:effectExtent b="0" l="0" r="0" t="0"/>
            <wp:wrapSquare wrapText="bothSides" distB="114300" distT="114300" distL="114300" distR="114300"/>
            <wp:docPr id="1" name="image3.jpg"/>
            <a:graphic>
              <a:graphicData uri="http://schemas.openxmlformats.org/drawingml/2006/picture">
                <pic:pic>
                  <pic:nvPicPr>
                    <pic:cNvPr id="0" name="image3.jpg"/>
                    <pic:cNvPicPr preferRelativeResize="0"/>
                  </pic:nvPicPr>
                  <pic:blipFill>
                    <a:blip r:embed="rId8"/>
                    <a:srcRect b="0" l="0" r="0" t="0"/>
                    <a:stretch>
                      <a:fillRect/>
                    </a:stretch>
                  </pic:blipFill>
                  <pic:spPr>
                    <a:xfrm>
                      <a:off x="0" y="0"/>
                      <a:ext cx="2105739" cy="1585913"/>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3645131</wp:posOffset>
            </wp:positionH>
            <wp:positionV relativeFrom="paragraph">
              <wp:posOffset>419100</wp:posOffset>
            </wp:positionV>
            <wp:extent cx="2136544" cy="1609725"/>
            <wp:effectExtent b="0" l="0" r="0" t="0"/>
            <wp:wrapSquare wrapText="bothSides" distB="114300" distT="114300" distL="114300" distR="114300"/>
            <wp:docPr id="5" name="image6.jpg"/>
            <a:graphic>
              <a:graphicData uri="http://schemas.openxmlformats.org/drawingml/2006/picture">
                <pic:pic>
                  <pic:nvPicPr>
                    <pic:cNvPr id="0" name="image6.jpg"/>
                    <pic:cNvPicPr preferRelativeResize="0"/>
                  </pic:nvPicPr>
                  <pic:blipFill>
                    <a:blip r:embed="rId9"/>
                    <a:srcRect b="0" l="0" r="0" t="0"/>
                    <a:stretch>
                      <a:fillRect/>
                    </a:stretch>
                  </pic:blipFill>
                  <pic:spPr>
                    <a:xfrm>
                      <a:off x="0" y="0"/>
                      <a:ext cx="2136544" cy="1609725"/>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523875</wp:posOffset>
            </wp:positionH>
            <wp:positionV relativeFrom="paragraph">
              <wp:posOffset>4933950</wp:posOffset>
            </wp:positionV>
            <wp:extent cx="2062163" cy="1647825"/>
            <wp:effectExtent b="0" l="0" r="0" t="0"/>
            <wp:wrapSquare wrapText="bothSides" distB="114300" distT="114300" distL="114300" distR="114300"/>
            <wp:docPr id="4" name="image7.jpg"/>
            <a:graphic>
              <a:graphicData uri="http://schemas.openxmlformats.org/drawingml/2006/picture">
                <pic:pic>
                  <pic:nvPicPr>
                    <pic:cNvPr id="0" name="image7.jpg"/>
                    <pic:cNvPicPr preferRelativeResize="0"/>
                  </pic:nvPicPr>
                  <pic:blipFill>
                    <a:blip r:embed="rId10"/>
                    <a:srcRect b="0" l="0" r="0" t="0"/>
                    <a:stretch>
                      <a:fillRect/>
                    </a:stretch>
                  </pic:blipFill>
                  <pic:spPr>
                    <a:xfrm>
                      <a:off x="0" y="0"/>
                      <a:ext cx="2062163" cy="1647825"/>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3667125</wp:posOffset>
            </wp:positionH>
            <wp:positionV relativeFrom="paragraph">
              <wp:posOffset>2681287</wp:posOffset>
            </wp:positionV>
            <wp:extent cx="2115536" cy="1595438"/>
            <wp:effectExtent b="0" l="0" r="0" t="0"/>
            <wp:wrapSquare wrapText="bothSides" distB="114300" distT="114300" distL="114300" distR="114300"/>
            <wp:docPr id="3" name="image2.jpg"/>
            <a:graphic>
              <a:graphicData uri="http://schemas.openxmlformats.org/drawingml/2006/picture">
                <pic:pic>
                  <pic:nvPicPr>
                    <pic:cNvPr id="0" name="image2.jpg"/>
                    <pic:cNvPicPr preferRelativeResize="0"/>
                  </pic:nvPicPr>
                  <pic:blipFill>
                    <a:blip r:embed="rId11"/>
                    <a:srcRect b="0" l="0" r="0" t="0"/>
                    <a:stretch>
                      <a:fillRect/>
                    </a:stretch>
                  </pic:blipFill>
                  <pic:spPr>
                    <a:xfrm>
                      <a:off x="0" y="0"/>
                      <a:ext cx="2115536" cy="1595438"/>
                    </a:xfrm>
                    <a:prstGeom prst="rect"/>
                    <a:ln/>
                  </pic:spPr>
                </pic:pic>
              </a:graphicData>
            </a:graphic>
          </wp:anchor>
        </w:drawing>
      </w:r>
    </w:p>
    <w:p w:rsidR="00000000" w:rsidDel="00000000" w:rsidP="00000000" w:rsidRDefault="00000000" w:rsidRPr="00000000" w14:paraId="00000052">
      <w:pPr>
        <w:spacing w:after="160" w:line="360" w:lineRule="auto"/>
        <w:ind w:firstLine="720.0000000000001"/>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53">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4">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5">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6">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7">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8">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9">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A">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B">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C">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D">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E">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3676650</wp:posOffset>
            </wp:positionH>
            <wp:positionV relativeFrom="paragraph">
              <wp:posOffset>171450</wp:posOffset>
            </wp:positionV>
            <wp:extent cx="2105025" cy="1647825"/>
            <wp:effectExtent b="0" l="0" r="0" t="0"/>
            <wp:wrapSquare wrapText="bothSides" distB="114300" distT="114300" distL="114300" distR="114300"/>
            <wp:docPr id="7" name="image4.jpg"/>
            <a:graphic>
              <a:graphicData uri="http://schemas.openxmlformats.org/drawingml/2006/picture">
                <pic:pic>
                  <pic:nvPicPr>
                    <pic:cNvPr id="0" name="image4.jpg"/>
                    <pic:cNvPicPr preferRelativeResize="0"/>
                  </pic:nvPicPr>
                  <pic:blipFill>
                    <a:blip r:embed="rId12"/>
                    <a:srcRect b="0" l="0" r="0" t="0"/>
                    <a:stretch>
                      <a:fillRect/>
                    </a:stretch>
                  </pic:blipFill>
                  <pic:spPr>
                    <a:xfrm>
                      <a:off x="0" y="0"/>
                      <a:ext cx="2105025" cy="1647825"/>
                    </a:xfrm>
                    <a:prstGeom prst="rect"/>
                    <a:ln/>
                  </pic:spPr>
                </pic:pic>
              </a:graphicData>
            </a:graphic>
          </wp:anchor>
        </w:drawing>
      </w:r>
    </w:p>
    <w:p w:rsidR="00000000" w:rsidDel="00000000" w:rsidP="00000000" w:rsidRDefault="00000000" w:rsidRPr="00000000" w14:paraId="0000005F">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0">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1">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2">
      <w:pPr>
        <w:spacing w:after="160" w:line="360" w:lineRule="auto"/>
        <w:ind w:lef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3">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Bibliografía: </w:t>
      </w:r>
      <w:r w:rsidDel="00000000" w:rsidR="00000000" w:rsidRPr="00000000">
        <w:rPr>
          <w:rtl w:val="0"/>
        </w:rPr>
      </w:r>
    </w:p>
    <w:p w:rsidR="00000000" w:rsidDel="00000000" w:rsidP="00000000" w:rsidRDefault="00000000" w:rsidRPr="00000000" w14:paraId="00000064">
      <w:pPr>
        <w:widowControl w:val="0"/>
        <w:tabs>
          <w:tab w:val="left" w:leader="none" w:pos="724"/>
        </w:tabs>
        <w:spacing w:before="11" w:line="23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Freire, P. (1970). Pedagogía del oprimido. Siglo XXI editores, s.a de c.v. Editores argentina</w:t>
      </w:r>
    </w:p>
    <w:p w:rsidR="00000000" w:rsidDel="00000000" w:rsidP="00000000" w:rsidRDefault="00000000" w:rsidRPr="00000000" w14:paraId="00000065">
      <w:pPr>
        <w:widowControl w:val="0"/>
        <w:tabs>
          <w:tab w:val="left" w:leader="none" w:pos="724"/>
        </w:tabs>
        <w:spacing w:before="11" w:line="230" w:lineRule="auto"/>
        <w:ind w:left="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6">
      <w:pPr>
        <w:widowControl w:val="0"/>
        <w:tabs>
          <w:tab w:val="left" w:leader="none" w:pos="725"/>
        </w:tabs>
        <w:spacing w:before="13" w:line="220" w:lineRule="auto"/>
        <w:ind w:left="0" w:right="745"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Fals, O (1985) Conocimiento y poder popular. Siglo XXI editores, s.a. Bogotá.</w:t>
      </w:r>
    </w:p>
    <w:p w:rsidR="00000000" w:rsidDel="00000000" w:rsidP="00000000" w:rsidRDefault="00000000" w:rsidRPr="00000000" w14:paraId="00000067">
      <w:pPr>
        <w:widowControl w:val="0"/>
        <w:tabs>
          <w:tab w:val="left" w:leader="none" w:pos="724"/>
        </w:tabs>
        <w:spacing w:before="11" w:line="230" w:lineRule="auto"/>
        <w:ind w:left="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8">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JARA, O. (2018) La sistematización de experiencias prácticas y teoría para otros mundos posibles. </w:t>
      </w:r>
    </w:p>
    <w:p w:rsidR="00000000" w:rsidDel="00000000" w:rsidP="00000000" w:rsidRDefault="00000000" w:rsidRPr="00000000" w14:paraId="00000069">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A">
      <w:pPr>
        <w:widowControl w:val="0"/>
        <w:tabs>
          <w:tab w:val="left" w:leader="none" w:pos="724"/>
        </w:tabs>
        <w:spacing w:before="11" w:line="23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Ruiz &amp; Prada (2012). La Formación de Subjetividad Política. </w:t>
      </w:r>
    </w:p>
    <w:p w:rsidR="00000000" w:rsidDel="00000000" w:rsidP="00000000" w:rsidRDefault="00000000" w:rsidRPr="00000000" w14:paraId="0000006B">
      <w:pPr>
        <w:widowControl w:val="0"/>
        <w:tabs>
          <w:tab w:val="left" w:leader="none" w:pos="724"/>
        </w:tabs>
        <w:spacing w:before="11" w:line="230" w:lineRule="auto"/>
        <w:ind w:left="0" w:firstLine="0"/>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6C">
      <w:pPr>
        <w:spacing w:after="160" w:line="360" w:lineRule="auto"/>
        <w:ind w:left="0" w:firstLine="720.0000000000001"/>
        <w:jc w:val="both"/>
        <w:rPr>
          <w:rFonts w:ascii="Times New Roman" w:cs="Times New Roman" w:eastAsia="Times New Roman" w:hAnsi="Times New Roman"/>
          <w:sz w:val="24"/>
          <w:szCs w:val="24"/>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2.jpg"/><Relationship Id="rId10" Type="http://schemas.openxmlformats.org/officeDocument/2006/relationships/image" Target="media/image7.jpg"/><Relationship Id="rId12" Type="http://schemas.openxmlformats.org/officeDocument/2006/relationships/image" Target="media/image4.jpg"/><Relationship Id="rId9" Type="http://schemas.openxmlformats.org/officeDocument/2006/relationships/image" Target="media/image6.jp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5.jpg"/><Relationship Id="rId8"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