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A448F" w14:textId="0E8C4666" w:rsidR="000945E7" w:rsidRPr="00867676" w:rsidRDefault="00A86A83" w:rsidP="008F0561">
      <w:pPr>
        <w:spacing w:before="240" w:after="0" w:line="480" w:lineRule="auto"/>
        <w:ind w:left="2832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proofErr w:type="spellStart"/>
      <w:r w:rsidRPr="00867676">
        <w:rPr>
          <w:rFonts w:ascii="Times New Roman" w:hAnsi="Times New Roman" w:cs="Times New Roman"/>
          <w:b/>
          <w:bCs/>
          <w:sz w:val="22"/>
          <w:szCs w:val="22"/>
          <w:lang w:val="en-US"/>
        </w:rPr>
        <w:t>Cuerpo</w:t>
      </w:r>
      <w:proofErr w:type="spellEnd"/>
      <w:r w:rsidRPr="00867676">
        <w:rPr>
          <w:rFonts w:ascii="Times New Roman" w:hAnsi="Times New Roman" w:cs="Times New Roman"/>
          <w:b/>
          <w:bCs/>
          <w:sz w:val="22"/>
          <w:szCs w:val="22"/>
          <w:lang w:val="en-US"/>
        </w:rPr>
        <w:t>, símbolo y</w:t>
      </w:r>
      <w:r w:rsidR="000945E7" w:rsidRPr="00867676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="000945E7" w:rsidRPr="00867676">
        <w:rPr>
          <w:rFonts w:ascii="Times New Roman" w:hAnsi="Times New Roman" w:cs="Times New Roman"/>
          <w:b/>
          <w:bCs/>
          <w:sz w:val="22"/>
          <w:szCs w:val="22"/>
          <w:lang w:val="en-US"/>
        </w:rPr>
        <w:t>fantasía</w:t>
      </w:r>
      <w:proofErr w:type="spellEnd"/>
    </w:p>
    <w:p w14:paraId="2A4950FE" w14:textId="496A59D2" w:rsidR="000945E7" w:rsidRPr="00867676" w:rsidRDefault="000945E7" w:rsidP="00E26EE7">
      <w:pPr>
        <w:spacing w:before="240" w:after="0" w:line="480" w:lineRule="auto"/>
        <w:ind w:firstLine="708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867676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b/>
          <w:bCs/>
          <w:sz w:val="22"/>
          <w:szCs w:val="22"/>
          <w:lang w:val="en-US"/>
        </w:rPr>
        <w:t>Introducción</w:t>
      </w:r>
      <w:proofErr w:type="spellEnd"/>
    </w:p>
    <w:p w14:paraId="1A3C4090" w14:textId="0BB6D773" w:rsidR="000945E7" w:rsidRPr="00867676" w:rsidRDefault="000945E7" w:rsidP="002616EF">
      <w:pPr>
        <w:spacing w:before="240" w:after="0" w:line="480" w:lineRule="auto"/>
        <w:ind w:firstLine="708"/>
        <w:rPr>
          <w:rFonts w:ascii="Times New Roman" w:hAnsi="Times New Roman" w:cs="Times New Roman"/>
          <w:sz w:val="22"/>
          <w:szCs w:val="22"/>
          <w:lang w:val="en-US"/>
        </w:rPr>
      </w:pPr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juego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simbólico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2616EF">
        <w:rPr>
          <w:rFonts w:ascii="Times New Roman" w:hAnsi="Times New Roman" w:cs="Times New Roman"/>
          <w:sz w:val="22"/>
          <w:szCs w:val="22"/>
          <w:lang w:val="en-US"/>
        </w:rPr>
        <w:t xml:space="preserve">de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Ángeles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Ruiz de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Velasco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pedagoga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y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psicomotricista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>) y Javier Abad Molina (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artista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visual y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educador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),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tienen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una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forma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muy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particular de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abordar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tema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mezclan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la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psicología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arte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la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filosofía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y su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propia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experiencia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en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escuelas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infantiles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Esta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reseña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se centra en tres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capítulos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considero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el corazón del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libro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: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capítulo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1, "La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formación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del símbolo";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capítulo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4, "El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juego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simbólico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"; y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capítulo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5, "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Realidad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y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fantasía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en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juego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simbólico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". La idea principal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une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estos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tres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capítulos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bastante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clara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: el símbolo no es algo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aparece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repente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en la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cabeza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del niño,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sino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nace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de su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cuerpo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de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sus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gestos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y de la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relación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con los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adultos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; se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expresa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sobre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todo en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juego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de "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como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si..."; y,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aunque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muchos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piensen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la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fantasía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estorba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al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pensamiento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lógico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en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realidad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conviven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tranquilamente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y se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complementan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. A lo largo de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esta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reseña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voy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explicar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por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qué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esta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idea me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parece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tan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interesante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y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útil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para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entender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a los niños.</w:t>
      </w:r>
    </w:p>
    <w:p w14:paraId="1485A011" w14:textId="77777777" w:rsidR="000945E7" w:rsidRPr="00867676" w:rsidRDefault="000945E7" w:rsidP="00E26EE7">
      <w:pPr>
        <w:spacing w:before="240" w:after="0" w:line="480" w:lineRule="auto"/>
        <w:ind w:firstLine="708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5AC0510D" w14:textId="11C43BB1" w:rsidR="000945E7" w:rsidRPr="00867676" w:rsidRDefault="000945E7" w:rsidP="00F435A6">
      <w:pPr>
        <w:spacing w:before="240" w:after="0" w:line="480" w:lineRule="auto"/>
        <w:ind w:firstLine="708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proofErr w:type="spellStart"/>
      <w:r w:rsidRPr="00867676">
        <w:rPr>
          <w:rFonts w:ascii="Times New Roman" w:hAnsi="Times New Roman" w:cs="Times New Roman"/>
          <w:b/>
          <w:bCs/>
          <w:sz w:val="22"/>
          <w:szCs w:val="22"/>
          <w:lang w:val="en-US"/>
        </w:rPr>
        <w:t>Desarrollo</w:t>
      </w:r>
      <w:proofErr w:type="spellEnd"/>
    </w:p>
    <w:p w14:paraId="4CCB042B" w14:textId="1307F527" w:rsidR="000945E7" w:rsidRPr="00867676" w:rsidRDefault="000945E7" w:rsidP="00F435A6">
      <w:pPr>
        <w:spacing w:before="240" w:after="0" w:line="480" w:lineRule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867676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El símbolo no </w:t>
      </w:r>
      <w:proofErr w:type="spellStart"/>
      <w:r w:rsidRPr="00867676">
        <w:rPr>
          <w:rFonts w:ascii="Times New Roman" w:hAnsi="Times New Roman" w:cs="Times New Roman"/>
          <w:b/>
          <w:bCs/>
          <w:sz w:val="22"/>
          <w:szCs w:val="22"/>
          <w:lang w:val="en-US"/>
        </w:rPr>
        <w:t>está</w:t>
      </w:r>
      <w:proofErr w:type="spellEnd"/>
      <w:r w:rsidRPr="00867676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solo en la </w:t>
      </w:r>
      <w:proofErr w:type="spellStart"/>
      <w:r w:rsidRPr="00867676">
        <w:rPr>
          <w:rFonts w:ascii="Times New Roman" w:hAnsi="Times New Roman" w:cs="Times New Roman"/>
          <w:b/>
          <w:bCs/>
          <w:sz w:val="22"/>
          <w:szCs w:val="22"/>
          <w:lang w:val="en-US"/>
        </w:rPr>
        <w:t>cabeza</w:t>
      </w:r>
      <w:proofErr w:type="spellEnd"/>
      <w:r w:rsidRPr="00867676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, </w:t>
      </w:r>
      <w:proofErr w:type="spellStart"/>
      <w:r w:rsidRPr="00867676">
        <w:rPr>
          <w:rFonts w:ascii="Times New Roman" w:hAnsi="Times New Roman" w:cs="Times New Roman"/>
          <w:b/>
          <w:bCs/>
          <w:sz w:val="22"/>
          <w:szCs w:val="22"/>
          <w:lang w:val="en-US"/>
        </w:rPr>
        <w:t>también</w:t>
      </w:r>
      <w:proofErr w:type="spellEnd"/>
      <w:r w:rsidRPr="00867676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b/>
          <w:bCs/>
          <w:sz w:val="22"/>
          <w:szCs w:val="22"/>
          <w:lang w:val="en-US"/>
        </w:rPr>
        <w:t>está</w:t>
      </w:r>
      <w:proofErr w:type="spellEnd"/>
      <w:r w:rsidRPr="00867676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en el </w:t>
      </w:r>
      <w:proofErr w:type="spellStart"/>
      <w:r w:rsidRPr="00867676">
        <w:rPr>
          <w:rFonts w:ascii="Times New Roman" w:hAnsi="Times New Roman" w:cs="Times New Roman"/>
          <w:b/>
          <w:bCs/>
          <w:sz w:val="22"/>
          <w:szCs w:val="22"/>
          <w:lang w:val="en-US"/>
        </w:rPr>
        <w:t>cuerpo</w:t>
      </w:r>
      <w:proofErr w:type="spellEnd"/>
    </w:p>
    <w:p w14:paraId="75669D03" w14:textId="6C165389" w:rsidR="000945E7" w:rsidRPr="00867676" w:rsidRDefault="000945E7" w:rsidP="00E26EE7">
      <w:pPr>
        <w:spacing w:before="240" w:after="0" w:line="480" w:lineRule="auto"/>
        <w:ind w:firstLine="708"/>
        <w:rPr>
          <w:rFonts w:ascii="Times New Roman" w:hAnsi="Times New Roman" w:cs="Times New Roman"/>
          <w:sz w:val="22"/>
          <w:szCs w:val="22"/>
          <w:lang w:val="en-US"/>
        </w:rPr>
      </w:pPr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capítulo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1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empieza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con algo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parece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sencillo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pero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no lo es: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distinguir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entre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símbolo y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signo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. Los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autores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explican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siguiendo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a Saussure,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signo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arbitrario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como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la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palabra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"mesa",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no se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parece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una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mesa),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mientras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el símbolo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tiene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algo de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parecido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con lo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representa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Por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ejemplo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la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balanza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es un símbolo de la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justicia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porque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tiene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ver con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equilibrio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Esta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diferencia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importante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porque los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autores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proponen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algo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va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un poco contra lo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suele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hacerse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en la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escuela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: si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dejamos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los niños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primero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jueguen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y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creen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sus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propios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símbolos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después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les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será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mucho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más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fácil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aprender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los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signos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convencionales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como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las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letras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o los números. Como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dicen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ellos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>: "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Quizá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comenzando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por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permitir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desarrollara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lastRenderedPageBreak/>
        <w:t>plenamente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su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pensamiento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través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manejo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y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uso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de los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símbolos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podría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acceder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más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fácilmente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a la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comprensión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sentido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y la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utilidad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de los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signos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" (Ruiz de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Velasco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&amp; Abad Molina, 2011, p. 16).</w:t>
      </w:r>
    </w:p>
    <w:p w14:paraId="016470F7" w14:textId="61CF66BF" w:rsidR="000945E7" w:rsidRPr="00867676" w:rsidRDefault="000945E7" w:rsidP="00E26EE7">
      <w:pPr>
        <w:spacing w:before="240" w:after="0" w:line="480" w:lineRule="auto"/>
        <w:ind w:firstLine="708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Pero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lo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más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me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llamó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la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atención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de este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capítulo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los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autores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insisten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mucho en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el símbolo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tiene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ver con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cuerpo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y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gesto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. No es algo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puramente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mental.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Citan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Vigotsky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cuando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dice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"para el niño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juega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'todo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puede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ser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todo, porque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significado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radica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en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gesto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y no en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objeto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'" (Ruiz de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Velasco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&amp; Abad Molina, 2011, p. 22). O sea, un niño no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agarra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un palo y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piensa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"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esto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es un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caballo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" de forma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abstracta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. Lo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agarra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y lo pone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entre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las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piernas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y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hace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gesto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montar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porque antes ha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vivido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ese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gesto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en su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cuerpo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cuando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algún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adulto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lo ha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subido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a los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hombros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o a la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espalda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Esa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experiencia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se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queda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grabada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en lo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los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autores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llaman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imaginario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(algo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así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como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un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archivo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inconsciente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vivencias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) y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después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sale en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juego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como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expresividad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motriz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. Me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parece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una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idea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muy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potente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porque nos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recuerda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los niños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aprenden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con todo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cuerpo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no solo con la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cabeza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2A3C408D" w14:textId="09F647E4" w:rsidR="000945E7" w:rsidRPr="00867676" w:rsidRDefault="000945E7" w:rsidP="00F435A6">
      <w:pPr>
        <w:spacing w:before="240" w:after="0" w:line="480" w:lineRule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867676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El </w:t>
      </w:r>
      <w:proofErr w:type="spellStart"/>
      <w:r w:rsidRPr="00867676">
        <w:rPr>
          <w:rFonts w:ascii="Times New Roman" w:hAnsi="Times New Roman" w:cs="Times New Roman"/>
          <w:b/>
          <w:bCs/>
          <w:sz w:val="22"/>
          <w:szCs w:val="22"/>
          <w:lang w:val="en-US"/>
        </w:rPr>
        <w:t>juego</w:t>
      </w:r>
      <w:proofErr w:type="spellEnd"/>
      <w:r w:rsidRPr="00867676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b/>
          <w:bCs/>
          <w:sz w:val="22"/>
          <w:szCs w:val="22"/>
          <w:lang w:val="en-US"/>
        </w:rPr>
        <w:t>simbólico</w:t>
      </w:r>
      <w:proofErr w:type="spellEnd"/>
      <w:r w:rsidRPr="00867676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es mucho </w:t>
      </w:r>
      <w:proofErr w:type="spellStart"/>
      <w:r w:rsidRPr="00867676">
        <w:rPr>
          <w:rFonts w:ascii="Times New Roman" w:hAnsi="Times New Roman" w:cs="Times New Roman"/>
          <w:b/>
          <w:bCs/>
          <w:sz w:val="22"/>
          <w:szCs w:val="22"/>
          <w:lang w:val="en-US"/>
        </w:rPr>
        <w:t>más</w:t>
      </w:r>
      <w:proofErr w:type="spellEnd"/>
      <w:r w:rsidRPr="00867676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b/>
          <w:bCs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"</w:t>
      </w:r>
      <w:proofErr w:type="spellStart"/>
      <w:r w:rsidRPr="00867676">
        <w:rPr>
          <w:rFonts w:ascii="Times New Roman" w:hAnsi="Times New Roman" w:cs="Times New Roman"/>
          <w:b/>
          <w:bCs/>
          <w:sz w:val="22"/>
          <w:szCs w:val="22"/>
          <w:lang w:val="en-US"/>
        </w:rPr>
        <w:t>jugar</w:t>
      </w:r>
      <w:proofErr w:type="spellEnd"/>
      <w:r w:rsidRPr="00867676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a </w:t>
      </w:r>
      <w:proofErr w:type="spellStart"/>
      <w:r w:rsidRPr="00867676">
        <w:rPr>
          <w:rFonts w:ascii="Times New Roman" w:hAnsi="Times New Roman" w:cs="Times New Roman"/>
          <w:b/>
          <w:bCs/>
          <w:sz w:val="22"/>
          <w:szCs w:val="22"/>
          <w:lang w:val="en-US"/>
        </w:rPr>
        <w:t>fingir</w:t>
      </w:r>
      <w:proofErr w:type="spellEnd"/>
      <w:r w:rsidRPr="00867676">
        <w:rPr>
          <w:rFonts w:ascii="Times New Roman" w:hAnsi="Times New Roman" w:cs="Times New Roman"/>
          <w:b/>
          <w:bCs/>
          <w:sz w:val="22"/>
          <w:szCs w:val="22"/>
          <w:lang w:val="en-US"/>
        </w:rPr>
        <w:t>"</w:t>
      </w:r>
    </w:p>
    <w:p w14:paraId="64D1C695" w14:textId="4E0DDA6A" w:rsidR="000945E7" w:rsidRPr="00867676" w:rsidRDefault="000945E7" w:rsidP="00E26EE7">
      <w:pPr>
        <w:spacing w:before="240" w:after="0" w:line="480" w:lineRule="auto"/>
        <w:ind w:firstLine="708"/>
        <w:rPr>
          <w:rFonts w:ascii="Times New Roman" w:hAnsi="Times New Roman" w:cs="Times New Roman"/>
          <w:sz w:val="22"/>
          <w:szCs w:val="22"/>
          <w:lang w:val="en-US"/>
        </w:rPr>
      </w:pPr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capítulo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4 se centra en lo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todos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conocemos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como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juego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de "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hacer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como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si". Los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autores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explican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este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juego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empieza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alrededor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año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y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medio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o dos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años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cuando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el niño ya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puede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representar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algo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no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está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presente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Pero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no se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quedan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ahí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defienden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juego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no es un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pasatiempo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sin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importancia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sino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algo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esencial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para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ser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humano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. De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hecho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citan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Huizinga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cuando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dice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"la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cultura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humana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brota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juego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y en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él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se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desarrolla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>" (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Huizinga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1972,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citado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en Ruiz de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Velasco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&amp; Abad Molina, 2011, p. 97). Es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decir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sin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juego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no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habría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arte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ni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religión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ni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ciencia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ni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filosofía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Suena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exagerado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pero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pensándolo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bien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tiene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sentido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7680519A" w14:textId="78EF3730" w:rsidR="000945E7" w:rsidRPr="00867676" w:rsidRDefault="000945E7" w:rsidP="00E26EE7">
      <w:pPr>
        <w:spacing w:before="240" w:after="0" w:line="480" w:lineRule="auto"/>
        <w:ind w:firstLine="708"/>
        <w:rPr>
          <w:rFonts w:ascii="Times New Roman" w:hAnsi="Times New Roman" w:cs="Times New Roman"/>
          <w:sz w:val="22"/>
          <w:szCs w:val="22"/>
          <w:lang w:val="en-US"/>
        </w:rPr>
      </w:pPr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Los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autores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describen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cómo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evoluciona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este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juego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: al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principio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el niño lo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aplica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a su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propio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cuerpo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finge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duerme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come),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luego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lo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proyecta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sobre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objetos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le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da de comer 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una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muñeca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),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más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tarde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empieza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combinar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acciones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en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secuencias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y,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finalmente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entre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los 4 y los 7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años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aparece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juego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de roles,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donde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varios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niños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representan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papeles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adultos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médicos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papás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vaqueros, lo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sea). En este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punto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los niños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tienen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ponerse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acuerdo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lastRenderedPageBreak/>
        <w:t>negociar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y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cooperar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lo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cual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ya es un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entrenamiento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para la vida social. Algo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me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pareció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muy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interesante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los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autores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señalan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incluso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juego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simbólico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tiene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reglas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aunque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no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sean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reglas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impuestas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desde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fuera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. Como dice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Vigotsky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"el niño se dice 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sí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mismo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: debo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comportarme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así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y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así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en este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juego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>" (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Vigotsky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1933-1982,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citado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en Ruiz de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Velasco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&amp; Abad Molina, 2011, p. 100).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Eso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justamente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lo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llamamos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autonomía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moral.</w:t>
      </w:r>
    </w:p>
    <w:p w14:paraId="04DE0125" w14:textId="4937A7C9" w:rsidR="000945E7" w:rsidRPr="00867676" w:rsidRDefault="000945E7" w:rsidP="00E26EE7">
      <w:pPr>
        <w:spacing w:before="240" w:after="0" w:line="480" w:lineRule="auto"/>
        <w:ind w:firstLine="708"/>
        <w:rPr>
          <w:rFonts w:ascii="Times New Roman" w:hAnsi="Times New Roman" w:cs="Times New Roman"/>
          <w:sz w:val="22"/>
          <w:szCs w:val="22"/>
          <w:lang w:val="en-US"/>
        </w:rPr>
      </w:pPr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capítulo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también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habla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de para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qué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sirve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todo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esto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. En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plano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intelectual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juego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simbólico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ayuda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desarrollar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pensamiento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abstracto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. En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plano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lenguaje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los niños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amplían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su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vocabulario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y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aprenden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estructuras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sintácticas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más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complejas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porque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imitan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cómo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hablan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los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adultos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. En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plano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afectivo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juego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les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permite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elaborar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miedos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y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conflictos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: "Como pista de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pruebas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de la vida,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esta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actividad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lúdica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ayuda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elaborar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las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dificultades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derivadas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de la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comprensión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mundo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de los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adultos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" (Ruiz de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Velasco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&amp; Abad Molina, 2011, p. 107). Y,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muy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importante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los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autores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dedican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un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buen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espacio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explicar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qué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debe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hacer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educador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Básicamente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proponen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adulto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observe,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registre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documente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y cree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contextos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interesantes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pero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no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intervenga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menos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sea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necesario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. Dan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pautas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muy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concretas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como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tener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empatía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tónica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es la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capacidad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ponerse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en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lugar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del niño y saber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esperar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) y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mantener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una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relación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asimétrica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acompañar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sin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ponerse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jugar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como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si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fuera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otro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niño). Me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parece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una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postura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muy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respetuosa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1F71E823" w14:textId="65F29E44" w:rsidR="000945E7" w:rsidRPr="00867676" w:rsidRDefault="000945E7" w:rsidP="00F435A6">
      <w:pPr>
        <w:spacing w:before="240" w:after="0" w:line="480" w:lineRule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proofErr w:type="spellStart"/>
      <w:r w:rsidRPr="00867676">
        <w:rPr>
          <w:rFonts w:ascii="Times New Roman" w:hAnsi="Times New Roman" w:cs="Times New Roman"/>
          <w:b/>
          <w:bCs/>
          <w:sz w:val="22"/>
          <w:szCs w:val="22"/>
          <w:lang w:val="en-US"/>
        </w:rPr>
        <w:t>Realidad</w:t>
      </w:r>
      <w:proofErr w:type="spellEnd"/>
      <w:r w:rsidRPr="00867676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y </w:t>
      </w:r>
      <w:proofErr w:type="spellStart"/>
      <w:r w:rsidRPr="00867676">
        <w:rPr>
          <w:rFonts w:ascii="Times New Roman" w:hAnsi="Times New Roman" w:cs="Times New Roman"/>
          <w:b/>
          <w:bCs/>
          <w:sz w:val="22"/>
          <w:szCs w:val="22"/>
          <w:lang w:val="en-US"/>
        </w:rPr>
        <w:t>fantasía</w:t>
      </w:r>
      <w:proofErr w:type="spellEnd"/>
      <w:r w:rsidRPr="00867676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: ¿se </w:t>
      </w:r>
      <w:proofErr w:type="spellStart"/>
      <w:r w:rsidRPr="00867676">
        <w:rPr>
          <w:rFonts w:ascii="Times New Roman" w:hAnsi="Times New Roman" w:cs="Times New Roman"/>
          <w:b/>
          <w:bCs/>
          <w:sz w:val="22"/>
          <w:szCs w:val="22"/>
          <w:lang w:val="en-US"/>
        </w:rPr>
        <w:t>pelean</w:t>
      </w:r>
      <w:proofErr w:type="spellEnd"/>
      <w:r w:rsidRPr="00867676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o se </w:t>
      </w:r>
      <w:proofErr w:type="spellStart"/>
      <w:r w:rsidRPr="00867676">
        <w:rPr>
          <w:rFonts w:ascii="Times New Roman" w:hAnsi="Times New Roman" w:cs="Times New Roman"/>
          <w:b/>
          <w:bCs/>
          <w:sz w:val="22"/>
          <w:szCs w:val="22"/>
          <w:lang w:val="en-US"/>
        </w:rPr>
        <w:t>llevan</w:t>
      </w:r>
      <w:proofErr w:type="spellEnd"/>
      <w:r w:rsidRPr="00867676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bien?</w:t>
      </w:r>
    </w:p>
    <w:p w14:paraId="7FB16820" w14:textId="1CB86041" w:rsidR="000945E7" w:rsidRPr="00867676" w:rsidRDefault="000945E7" w:rsidP="00E26EE7">
      <w:pPr>
        <w:spacing w:before="240" w:after="0" w:line="480" w:lineRule="auto"/>
        <w:ind w:firstLine="708"/>
        <w:rPr>
          <w:rFonts w:ascii="Times New Roman" w:hAnsi="Times New Roman" w:cs="Times New Roman"/>
          <w:sz w:val="22"/>
          <w:szCs w:val="22"/>
          <w:lang w:val="en-US"/>
        </w:rPr>
      </w:pPr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capítulo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5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aborda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un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tema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siempre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genera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dudas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. Los padres y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educadores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veces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se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preocupan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de si los niños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confunden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la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realidad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con la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fantasía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o de si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está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bien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crean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en los Reyes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Magos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o en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Ratoncito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Pérez. Los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autores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en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lugar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de ver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pensamiento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mágico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como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algo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hay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superar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cuanto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antes,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defienden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pensamiento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lógico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y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pensamiento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mágico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pueden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convivir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perfectamente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Citan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Subbotsky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dice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"las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creencias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en la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causalidad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física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y en la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causalidad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mágica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coexisten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en la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mente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de los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individuos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y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compiten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manera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constante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entre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sí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>" (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Subbotsky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2000,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citado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en Ruiz de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Velasco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&amp; Abad Molina, 2011, p. 136). O sea,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incluso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los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adultos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tenemos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supersticiones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lastRenderedPageBreak/>
        <w:t>creencias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no son del todo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racionales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.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problema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no es la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magia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sino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querer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imponerla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desmontarla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según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nos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convenga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6AD1E700" w14:textId="2BE7820F" w:rsidR="000945E7" w:rsidRPr="00867676" w:rsidRDefault="000945E7" w:rsidP="00E26EE7">
      <w:pPr>
        <w:spacing w:before="240" w:after="0" w:line="480" w:lineRule="auto"/>
        <w:ind w:firstLine="708"/>
        <w:rPr>
          <w:rFonts w:ascii="Times New Roman" w:hAnsi="Times New Roman" w:cs="Times New Roman"/>
          <w:sz w:val="22"/>
          <w:szCs w:val="22"/>
          <w:lang w:val="en-US"/>
        </w:rPr>
      </w:pPr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Los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autores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distinguen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tres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planos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: lo real (lo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se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puede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tocar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ver y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compartir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), lo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imaginario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(las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imágenes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mentales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de cada uno) y lo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simbólico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(los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significantes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todos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compartimos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para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referirnos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a algo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ausente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). Con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esta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distinción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queda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claro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los niños no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están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todo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día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confundidos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. De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hecho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citan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estudios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muestran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los niños de 3 a 5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años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distinguen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perfectamente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entre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un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helado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real y uno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imaginado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saben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el real se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puede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comer y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tocar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y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imaginado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no (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Wellman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1990,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citado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en Ruiz de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Velasco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&amp; Abad Molina, 2011, p. 131).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Otra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cosa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cuando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los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adultos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les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presentan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situaciones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mágicas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y les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dicen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son reales.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Ahí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los niños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sí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pueden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confundirse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pero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porque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adulto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les ha dado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motivos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para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hacerlo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1197CEF5" w14:textId="77777777" w:rsidR="000945E7" w:rsidRPr="00867676" w:rsidRDefault="000945E7" w:rsidP="00E26EE7">
      <w:pPr>
        <w:spacing w:before="240" w:after="0" w:line="480" w:lineRule="auto"/>
        <w:ind w:firstLine="708"/>
        <w:rPr>
          <w:rFonts w:ascii="Times New Roman" w:hAnsi="Times New Roman" w:cs="Times New Roman"/>
          <w:sz w:val="22"/>
          <w:szCs w:val="22"/>
          <w:lang w:val="en-US"/>
        </w:rPr>
      </w:pPr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Los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autores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también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señalan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una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paradoja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interesante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: los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adultos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fomentan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la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magia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en los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primeros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años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(con los Reyes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Magos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Ratoncito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Pérez, los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cuentos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) y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luego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en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determinado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momento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esperan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los niños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abandonen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esas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creencias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y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empiecen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pensar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de forma "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científica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".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Esto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puede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crearles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confusión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. La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propuesta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de los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autores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bastante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razonable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sea el niño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quien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lleve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las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riendas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sus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fantasías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y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adulto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lo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acompañe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sin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imponer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ni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desmontar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a la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fuerza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07EB4C52" w14:textId="77777777" w:rsidR="000945E7" w:rsidRPr="00867676" w:rsidRDefault="000945E7" w:rsidP="00E26EE7">
      <w:pPr>
        <w:spacing w:before="240" w:after="0" w:line="480" w:lineRule="auto"/>
        <w:ind w:firstLine="708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4E5F572C" w14:textId="6005029F" w:rsidR="000945E7" w:rsidRPr="00867676" w:rsidRDefault="000945E7" w:rsidP="00F435A6">
      <w:pPr>
        <w:spacing w:before="240" w:after="0" w:line="480" w:lineRule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867676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Los tres </w:t>
      </w:r>
      <w:proofErr w:type="spellStart"/>
      <w:r w:rsidRPr="00867676">
        <w:rPr>
          <w:rFonts w:ascii="Times New Roman" w:hAnsi="Times New Roman" w:cs="Times New Roman"/>
          <w:b/>
          <w:bCs/>
          <w:sz w:val="22"/>
          <w:szCs w:val="22"/>
          <w:lang w:val="en-US"/>
        </w:rPr>
        <w:t>capítulos</w:t>
      </w:r>
      <w:proofErr w:type="spellEnd"/>
      <w:r w:rsidRPr="00867676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b/>
          <w:bCs/>
          <w:sz w:val="22"/>
          <w:szCs w:val="22"/>
          <w:lang w:val="en-US"/>
        </w:rPr>
        <w:t>como</w:t>
      </w:r>
      <w:proofErr w:type="spellEnd"/>
      <w:r w:rsidRPr="00867676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b/>
          <w:bCs/>
          <w:sz w:val="22"/>
          <w:szCs w:val="22"/>
          <w:lang w:val="en-US"/>
        </w:rPr>
        <w:t>una</w:t>
      </w:r>
      <w:proofErr w:type="spellEnd"/>
      <w:r w:rsidRPr="00867676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sola </w:t>
      </w:r>
      <w:proofErr w:type="spellStart"/>
      <w:r w:rsidRPr="00867676">
        <w:rPr>
          <w:rFonts w:ascii="Times New Roman" w:hAnsi="Times New Roman" w:cs="Times New Roman"/>
          <w:b/>
          <w:bCs/>
          <w:sz w:val="22"/>
          <w:szCs w:val="22"/>
          <w:lang w:val="en-US"/>
        </w:rPr>
        <w:t>historia</w:t>
      </w:r>
      <w:proofErr w:type="spellEnd"/>
    </w:p>
    <w:p w14:paraId="10E5DCAA" w14:textId="7F9D5AF0" w:rsidR="000945E7" w:rsidRPr="00867676" w:rsidRDefault="000945E7" w:rsidP="00E26EE7">
      <w:pPr>
        <w:spacing w:before="240" w:after="0" w:line="480" w:lineRule="auto"/>
        <w:ind w:firstLine="708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Lo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hace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estos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tres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capítulos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funcionen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tan bien juntos es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no son tres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temas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separados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sino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tres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pasos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de un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mismo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argumento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.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capítulo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1 nos dice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el símbolo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tiene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raíces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en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cuerpo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y en la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relación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con los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demás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.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capítulo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4 nos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muestra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juego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simbólico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es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espacio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donde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esa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capacidad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se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despliega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y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donde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el niño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desarrolla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su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inteligencia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su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lenguaje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y su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mundo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afectivo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.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capítulo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5 nos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advierte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no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debemos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tenerle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miedo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a la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fantasía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ni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pensar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estorba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al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pensamiento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lógico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porque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ambos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pueden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convivir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67676">
        <w:rPr>
          <w:rFonts w:ascii="Times New Roman" w:hAnsi="Times New Roman" w:cs="Times New Roman"/>
          <w:sz w:val="22"/>
          <w:szCs w:val="22"/>
          <w:lang w:val="en-US"/>
        </w:rPr>
        <w:lastRenderedPageBreak/>
        <w:t xml:space="preserve">y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enriquecerse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mutuamente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. La idea principal </w:t>
      </w:r>
      <w:r w:rsidR="00DC167E">
        <w:rPr>
          <w:rFonts w:ascii="Times New Roman" w:hAnsi="Times New Roman" w:cs="Times New Roman"/>
          <w:sz w:val="22"/>
          <w:szCs w:val="22"/>
          <w:lang w:val="en-US"/>
        </w:rPr>
        <w:t>“</w:t>
      </w:r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el símbolo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como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algo corporal y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relacional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se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expresa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en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juego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y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no se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opone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a la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lógica</w:t>
      </w:r>
      <w:proofErr w:type="spellEnd"/>
      <w:r w:rsidR="00DC167E">
        <w:rPr>
          <w:rFonts w:ascii="Times New Roman" w:hAnsi="Times New Roman" w:cs="Times New Roman"/>
          <w:sz w:val="22"/>
          <w:szCs w:val="22"/>
          <w:lang w:val="en-US"/>
        </w:rPr>
        <w:t>”</w:t>
      </w:r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recorre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los tres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capítulos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como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un hilo invisible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pero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constante</w:t>
      </w:r>
      <w:proofErr w:type="spellEnd"/>
      <w:r w:rsidRPr="00867676">
        <w:rPr>
          <w:rFonts w:ascii="Times New Roman" w:hAnsi="Times New Roman" w:cs="Times New Roman"/>
          <w:b/>
          <w:bCs/>
          <w:sz w:val="22"/>
          <w:szCs w:val="22"/>
          <w:lang w:val="en-US"/>
        </w:rPr>
        <w:t>.</w:t>
      </w:r>
    </w:p>
    <w:p w14:paraId="407EEDD6" w14:textId="471905C7" w:rsidR="000945E7" w:rsidRPr="00867676" w:rsidRDefault="000945E7" w:rsidP="00E26EE7">
      <w:pPr>
        <w:spacing w:before="240" w:after="0" w:line="480" w:lineRule="auto"/>
        <w:ind w:firstLine="708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proofErr w:type="spellStart"/>
      <w:r w:rsidRPr="00867676">
        <w:rPr>
          <w:rFonts w:ascii="Times New Roman" w:hAnsi="Times New Roman" w:cs="Times New Roman"/>
          <w:b/>
          <w:bCs/>
          <w:sz w:val="22"/>
          <w:szCs w:val="22"/>
          <w:lang w:val="en-US"/>
        </w:rPr>
        <w:t>Conclusión</w:t>
      </w:r>
      <w:proofErr w:type="spellEnd"/>
    </w:p>
    <w:p w14:paraId="520E6D41" w14:textId="11C40149" w:rsidR="000945E7" w:rsidRPr="00867676" w:rsidRDefault="000945E7" w:rsidP="00E26EE7">
      <w:pPr>
        <w:spacing w:before="240" w:after="0" w:line="480" w:lineRule="auto"/>
        <w:ind w:firstLine="708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Después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de leer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estos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tres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capítulos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me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quedo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con la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sensación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los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autores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logran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algo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no es nada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fácil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combinar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teoría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compleja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con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ejemplos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prácticos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y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consejos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útiles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para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día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día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en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aula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. No es un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libro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se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quede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en lo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abstracto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. En todo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momento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se nota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los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autores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han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trabajado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en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escuelas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infantiles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y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saben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de lo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hablan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36CE1E2E" w14:textId="16F9708E" w:rsidR="000945E7" w:rsidRPr="00867676" w:rsidRDefault="000945E7" w:rsidP="00E26EE7">
      <w:pPr>
        <w:spacing w:before="240" w:after="0" w:line="480" w:lineRule="auto"/>
        <w:ind w:firstLine="708"/>
        <w:rPr>
          <w:rFonts w:ascii="Times New Roman" w:hAnsi="Times New Roman" w:cs="Times New Roman"/>
          <w:sz w:val="22"/>
          <w:szCs w:val="22"/>
          <w:lang w:val="en-US"/>
        </w:rPr>
      </w:pPr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Si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tuviera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ponerle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una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pega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diría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veces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hay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tantas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citas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tantos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autores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diferentes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(Piaget,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Vigotsky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Freud,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Wallon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Winnicott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Aucouturier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Lévi-Strauss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Egan...)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uno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puede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sentirse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un poco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abrumado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Pero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por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otro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lado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esa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variedad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también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enriquece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y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muestra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juego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simbólico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es un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tema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interesa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desde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muchas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disciplinas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1FDAC756" w14:textId="21E4E58A" w:rsidR="00A86A83" w:rsidRPr="003A3D3B" w:rsidRDefault="000945E7" w:rsidP="00E26EE7">
      <w:pPr>
        <w:spacing w:before="240" w:after="0" w:line="480" w:lineRule="auto"/>
        <w:ind w:firstLine="708"/>
        <w:rPr>
          <w:rFonts w:ascii="Times New Roman" w:hAnsi="Times New Roman" w:cs="Times New Roman"/>
          <w:lang w:val="en-US"/>
        </w:rPr>
      </w:pPr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En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definitiva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recomiendo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muchísimo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estos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capítulos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cualquier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estudiante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educación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infantil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r w:rsidR="00A76145">
        <w:rPr>
          <w:rFonts w:ascii="Times New Roman" w:hAnsi="Times New Roman" w:cs="Times New Roman"/>
          <w:sz w:val="22"/>
          <w:szCs w:val="22"/>
          <w:lang w:val="en-US"/>
        </w:rPr>
        <w:t>la</w:t>
      </w:r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tesis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central </w:t>
      </w:r>
      <w:r w:rsidR="003A7173">
        <w:rPr>
          <w:rFonts w:ascii="Times New Roman" w:hAnsi="Times New Roman" w:cs="Times New Roman"/>
          <w:sz w:val="22"/>
          <w:szCs w:val="22"/>
          <w:lang w:val="en-US"/>
        </w:rPr>
        <w:t>“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símbolo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nace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gesto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juego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de "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como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si..." es fundamental para 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desarrollo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y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realidad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y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fantasía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no son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enemigas</w:t>
      </w:r>
      <w:proofErr w:type="spellEnd"/>
      <w:r w:rsidR="003A7173">
        <w:rPr>
          <w:rFonts w:ascii="Times New Roman" w:hAnsi="Times New Roman" w:cs="Times New Roman"/>
          <w:sz w:val="22"/>
          <w:szCs w:val="22"/>
          <w:lang w:val="en-US"/>
        </w:rPr>
        <w:t>,</w:t>
      </w:r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me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parece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una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lección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valiosa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sobre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todo en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una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época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donde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a menudo se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prioriza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lo "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útil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>" y lo "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medible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"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por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encima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de lo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lúdico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y lo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creativo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. Como bien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dicen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los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autores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al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principio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libro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"no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vivimos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solamente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en un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mundo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puramente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físico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sino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que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debemos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adaptarnos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cada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vez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más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a la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sofisticación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de un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universo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simbólico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" (Ruiz de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Velasco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&amp; Abad Molina, 2011, p. 10).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Entender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cómo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los niños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construyen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ese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universo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simbólico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a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través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del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juego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no es un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lujo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sino</w:t>
      </w:r>
      <w:proofErr w:type="spellEnd"/>
      <w:r w:rsidRPr="008676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67676">
        <w:rPr>
          <w:rFonts w:ascii="Times New Roman" w:hAnsi="Times New Roman" w:cs="Times New Roman"/>
          <w:sz w:val="22"/>
          <w:szCs w:val="22"/>
          <w:lang w:val="en-US"/>
        </w:rPr>
        <w:t>u</w:t>
      </w:r>
      <w:r w:rsidR="003A3D3B" w:rsidRPr="004D63E4">
        <w:rPr>
          <w:rFonts w:ascii="Times New Roman" w:hAnsi="Times New Roman" w:cs="Times New Roman"/>
          <w:sz w:val="22"/>
          <w:szCs w:val="22"/>
          <w:lang w:val="en-US"/>
        </w:rPr>
        <w:t>na</w:t>
      </w:r>
      <w:proofErr w:type="spellEnd"/>
      <w:r w:rsidR="003A3D3B" w:rsidRPr="004D63E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3A3D3B" w:rsidRPr="004D63E4">
        <w:rPr>
          <w:rFonts w:ascii="Times New Roman" w:hAnsi="Times New Roman" w:cs="Times New Roman"/>
          <w:sz w:val="22"/>
          <w:szCs w:val="22"/>
          <w:lang w:val="en-US"/>
        </w:rPr>
        <w:t>necesidad</w:t>
      </w:r>
      <w:proofErr w:type="spellEnd"/>
      <w:r w:rsidR="004D63E4">
        <w:rPr>
          <w:rFonts w:ascii="Times New Roman" w:hAnsi="Times New Roman" w:cs="Times New Roman"/>
          <w:lang w:val="en-US"/>
        </w:rPr>
        <w:t>.</w:t>
      </w:r>
    </w:p>
    <w:sectPr w:rsidR="00A86A83" w:rsidRPr="003A3D3B">
      <w:headerReference w:type="even" r:id="rId6"/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4BA2F" w14:textId="77777777" w:rsidR="008E6D05" w:rsidRDefault="008E6D05" w:rsidP="008E6D05">
      <w:pPr>
        <w:spacing w:after="0" w:line="240" w:lineRule="auto"/>
      </w:pPr>
      <w:r>
        <w:separator/>
      </w:r>
    </w:p>
  </w:endnote>
  <w:endnote w:type="continuationSeparator" w:id="0">
    <w:p w14:paraId="25602E7D" w14:textId="77777777" w:rsidR="008E6D05" w:rsidRDefault="008E6D05" w:rsidP="008E6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F6371" w14:textId="77777777" w:rsidR="008E6D05" w:rsidRDefault="008E6D05" w:rsidP="008E6D05">
      <w:pPr>
        <w:spacing w:after="0" w:line="240" w:lineRule="auto"/>
      </w:pPr>
      <w:r>
        <w:separator/>
      </w:r>
    </w:p>
  </w:footnote>
  <w:footnote w:type="continuationSeparator" w:id="0">
    <w:p w14:paraId="69591564" w14:textId="77777777" w:rsidR="008E6D05" w:rsidRDefault="008E6D05" w:rsidP="008E6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796715837"/>
      <w:docPartObj>
        <w:docPartGallery w:val="Page Numbers (Top of Page)"/>
        <w:docPartUnique/>
      </w:docPartObj>
    </w:sdtPr>
    <w:sdtContent>
      <w:p w14:paraId="473992BB" w14:textId="65C79AD7" w:rsidR="008E6D05" w:rsidRDefault="008E6D05" w:rsidP="006D297C">
        <w:pPr>
          <w:pStyle w:val="Encabezado"/>
          <w:framePr w:wrap="none" w:vAnchor="text" w:hAnchor="margin" w:xAlign="right" w:y="1"/>
          <w:jc w:val="right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C930832" w14:textId="77777777" w:rsidR="008E6D05" w:rsidRDefault="008E6D05" w:rsidP="008E6D0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80965106"/>
      <w:docPartObj>
        <w:docPartGallery w:val="Page Numbers (Top of Page)"/>
        <w:docPartUnique/>
      </w:docPartObj>
    </w:sdtPr>
    <w:sdtContent>
      <w:p w14:paraId="2BB24D7D" w14:textId="63BD629F" w:rsidR="008E6D05" w:rsidRDefault="008E6D05" w:rsidP="006D297C">
        <w:pPr>
          <w:pStyle w:val="Encabezado"/>
          <w:framePr w:wrap="none" w:vAnchor="text" w:hAnchor="margin" w:xAlign="right" w:y="1"/>
          <w:jc w:val="right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D07DEF3" w14:textId="77777777" w:rsidR="008E6D05" w:rsidRDefault="008E6D05" w:rsidP="008E6D05">
    <w:pPr>
      <w:pStyle w:val="Encabezad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83"/>
    <w:rsid w:val="000945E7"/>
    <w:rsid w:val="000E740A"/>
    <w:rsid w:val="001824C1"/>
    <w:rsid w:val="00197763"/>
    <w:rsid w:val="002616EF"/>
    <w:rsid w:val="003A3D3B"/>
    <w:rsid w:val="003A7173"/>
    <w:rsid w:val="003E6B5F"/>
    <w:rsid w:val="004D63E4"/>
    <w:rsid w:val="0050090D"/>
    <w:rsid w:val="006475ED"/>
    <w:rsid w:val="007C7D2E"/>
    <w:rsid w:val="00867676"/>
    <w:rsid w:val="008A1D8B"/>
    <w:rsid w:val="008A4D27"/>
    <w:rsid w:val="008E6D05"/>
    <w:rsid w:val="008F0561"/>
    <w:rsid w:val="00931F81"/>
    <w:rsid w:val="00A759B8"/>
    <w:rsid w:val="00A76145"/>
    <w:rsid w:val="00A86A83"/>
    <w:rsid w:val="00A922C4"/>
    <w:rsid w:val="00C17A11"/>
    <w:rsid w:val="00D6036C"/>
    <w:rsid w:val="00D64031"/>
    <w:rsid w:val="00DC167E"/>
    <w:rsid w:val="00DD4018"/>
    <w:rsid w:val="00E26EE7"/>
    <w:rsid w:val="00E45DF6"/>
    <w:rsid w:val="00F25B9C"/>
    <w:rsid w:val="00F435A6"/>
    <w:rsid w:val="00FE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469272"/>
  <w15:chartTrackingRefBased/>
  <w15:docId w15:val="{A51A50E4-C012-CD44-9AFE-768556EC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86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6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6A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6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6A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6A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6A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6A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6A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6A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6A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6A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6A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6A8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6A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6A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6A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6A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6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6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6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6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6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6A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86A8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6A8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6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6A8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6A8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E6D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6D05"/>
  </w:style>
  <w:style w:type="paragraph" w:styleId="Piedepgina">
    <w:name w:val="footer"/>
    <w:basedOn w:val="Normal"/>
    <w:link w:val="PiedepginaCar"/>
    <w:uiPriority w:val="99"/>
    <w:unhideWhenUsed/>
    <w:rsid w:val="008E6D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6D05"/>
  </w:style>
  <w:style w:type="character" w:styleId="Nmerodepgina">
    <w:name w:val="page number"/>
    <w:basedOn w:val="Fuentedeprrafopredeter"/>
    <w:uiPriority w:val="99"/>
    <w:semiHidden/>
    <w:unhideWhenUsed/>
    <w:rsid w:val="008E6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1545</Words>
  <Characters>8501</Characters>
  <Application>Microsoft Office Word</Application>
  <DocSecurity>0</DocSecurity>
  <Lines>70</Lines>
  <Paragraphs>20</Paragraphs>
  <ScaleCrop>false</ScaleCrop>
  <Company/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Zarha Tenjo</dc:creator>
  <cp:keywords/>
  <dc:description/>
  <cp:lastModifiedBy>Zarha Tenjo</cp:lastModifiedBy>
  <cp:revision>2</cp:revision>
  <dcterms:created xsi:type="dcterms:W3CDTF">2026-04-20T03:47:00Z</dcterms:created>
  <dcterms:modified xsi:type="dcterms:W3CDTF">2026-04-20T03:47:00Z</dcterms:modified>
</cp:coreProperties>
</file>